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F4EC" w14:textId="051F8089" w:rsidR="000074E4" w:rsidRPr="00C61182" w:rsidRDefault="000B3171" w:rsidP="00B5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61182">
        <w:rPr>
          <w:rFonts w:ascii="Times New Roman" w:hAnsi="Times New Roman" w:cs="Times New Roman"/>
          <w:b/>
          <w:bCs/>
        </w:rPr>
        <w:t>Annexe</w:t>
      </w:r>
      <w:r w:rsidR="005C4A6C" w:rsidRPr="00C61182">
        <w:rPr>
          <w:rFonts w:ascii="Times New Roman" w:hAnsi="Times New Roman" w:cs="Times New Roman"/>
          <w:b/>
          <w:bCs/>
        </w:rPr>
        <w:t xml:space="preserve"> n°</w:t>
      </w:r>
      <w:r w:rsidR="00C127CE">
        <w:rPr>
          <w:rFonts w:ascii="Times New Roman" w:hAnsi="Times New Roman" w:cs="Times New Roman"/>
          <w:b/>
          <w:bCs/>
        </w:rPr>
        <w:t xml:space="preserve"> 2</w:t>
      </w:r>
    </w:p>
    <w:p w14:paraId="28C02B95" w14:textId="6F54C1BA" w:rsidR="00C61182" w:rsidRPr="00C61182" w:rsidRDefault="000B3171" w:rsidP="00C6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C61182">
        <w:rPr>
          <w:rFonts w:ascii="Times New Roman" w:hAnsi="Times New Roman" w:cs="Times New Roman"/>
          <w:b/>
          <w:bCs/>
        </w:rPr>
        <w:t>Procédure de demande de la protection fonctionnelle</w:t>
      </w:r>
      <w:r w:rsidR="001368CB" w:rsidRPr="00C61182">
        <w:rPr>
          <w:rFonts w:ascii="Times New Roman" w:hAnsi="Times New Roman" w:cs="Times New Roman"/>
          <w:b/>
          <w:bCs/>
        </w:rPr>
        <w:t xml:space="preserve"> au sein des ministères sociaux</w:t>
      </w:r>
    </w:p>
    <w:p w14:paraId="12558B2B" w14:textId="029DFA3F" w:rsidR="000B3171" w:rsidRPr="00C61182" w:rsidRDefault="001368CB" w:rsidP="009A79B6">
      <w:pPr>
        <w:pStyle w:val="Paragraphedeliste"/>
        <w:numPr>
          <w:ilvl w:val="0"/>
          <w:numId w:val="12"/>
        </w:numPr>
        <w:spacing w:after="240"/>
        <w:rPr>
          <w:rFonts w:ascii="Times New Roman" w:hAnsi="Times New Roman"/>
          <w:b/>
          <w:bCs/>
        </w:rPr>
      </w:pPr>
      <w:r w:rsidRPr="00C61182">
        <w:rPr>
          <w:rFonts w:ascii="Times New Roman" w:hAnsi="Times New Roman"/>
          <w:b/>
          <w:bCs/>
        </w:rPr>
        <w:t>Champ de la</w:t>
      </w:r>
      <w:r w:rsidR="00C61182" w:rsidRPr="00C61182">
        <w:rPr>
          <w:rFonts w:ascii="Times New Roman" w:hAnsi="Times New Roman"/>
          <w:b/>
          <w:bCs/>
        </w:rPr>
        <w:t xml:space="preserve"> </w:t>
      </w:r>
      <w:r w:rsidR="00D03023" w:rsidRPr="00C61182">
        <w:rPr>
          <w:rFonts w:ascii="Times New Roman" w:hAnsi="Times New Roman"/>
          <w:b/>
          <w:bCs/>
        </w:rPr>
        <w:t xml:space="preserve">protection </w:t>
      </w:r>
      <w:r w:rsidRPr="00C61182">
        <w:rPr>
          <w:rFonts w:ascii="Times New Roman" w:hAnsi="Times New Roman"/>
          <w:b/>
          <w:bCs/>
        </w:rPr>
        <w:t xml:space="preserve">fonctionnelle </w:t>
      </w:r>
      <w:r w:rsidR="009A79B6" w:rsidRPr="00C61182">
        <w:rPr>
          <w:rFonts w:ascii="Times New Roman" w:hAnsi="Times New Roman"/>
          <w:b/>
          <w:bCs/>
        </w:rPr>
        <w:t>:</w:t>
      </w:r>
    </w:p>
    <w:p w14:paraId="0391FA3C" w14:textId="39065D72" w:rsidR="00A20D5B" w:rsidRPr="00C61182" w:rsidRDefault="00A20D5B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 xml:space="preserve">Prévue par les dispositions de l’article 11 de la loi n°83-634 du 13 juillet 1983, </w:t>
      </w:r>
      <w:r w:rsidR="008442BD" w:rsidRPr="00C61182">
        <w:rPr>
          <w:rFonts w:ascii="Times New Roman" w:hAnsi="Times New Roman" w:cs="Times New Roman"/>
        </w:rPr>
        <w:t>la protection fonctionnelle</w:t>
      </w:r>
      <w:r w:rsidRPr="00C61182">
        <w:rPr>
          <w:rFonts w:ascii="Times New Roman" w:hAnsi="Times New Roman" w:cs="Times New Roman"/>
        </w:rPr>
        <w:t xml:space="preserve"> constitue le droit, pour tout agent public d’être protégé par son administration dans les cas suivants :</w:t>
      </w:r>
    </w:p>
    <w:p w14:paraId="12398D04" w14:textId="13F145D5" w:rsidR="00A20D5B" w:rsidRPr="00C61182" w:rsidRDefault="00A20D5B" w:rsidP="00A20D5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C61182">
        <w:rPr>
          <w:rFonts w:ascii="Times New Roman" w:hAnsi="Times New Roman"/>
        </w:rPr>
        <w:t>Les condamnations civiles prononcées contre lui à raison de faits qui n’ont pas le caractère d’une faute personnelle détachable de l’exercice des fonctions</w:t>
      </w:r>
      <w:r w:rsidR="008442BD" w:rsidRPr="00C61182">
        <w:rPr>
          <w:rFonts w:ascii="Times New Roman" w:hAnsi="Times New Roman"/>
        </w:rPr>
        <w:t> ;</w:t>
      </w:r>
    </w:p>
    <w:p w14:paraId="44E3954A" w14:textId="719517F1" w:rsidR="00A20D5B" w:rsidRPr="00C61182" w:rsidRDefault="00A20D5B" w:rsidP="00A20D5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C61182">
        <w:rPr>
          <w:rFonts w:ascii="Times New Roman" w:hAnsi="Times New Roman"/>
        </w:rPr>
        <w:t>Les poursuites pénales dont il peut être l’objet à l’occasion de faits qui n’ont pas le caractère d’une faute personnelle détachable de l’exercice des fonctions, et/ou lorsqu’il est entendu en qualité de témoin assisté, placé en garde à vue ou se voit proposer une composition pénale à raison de ces mêmes faits ;</w:t>
      </w:r>
    </w:p>
    <w:p w14:paraId="4991EC35" w14:textId="067013B2" w:rsidR="00A20D5B" w:rsidRDefault="00A20D5B" w:rsidP="00C61182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C61182">
        <w:rPr>
          <w:rFonts w:ascii="Times New Roman" w:hAnsi="Times New Roman"/>
        </w:rPr>
        <w:t>Les atteintes volontaires à l'intégrité de la personne, les violences, les agissements constitutifs de harcèlement, les menaces, les injures, les diffamations ou les outrages dont il pourrait être victime à l’occasion de ses fonctions</w:t>
      </w:r>
      <w:r w:rsidR="00F036D3" w:rsidRPr="00C61182">
        <w:rPr>
          <w:rFonts w:ascii="Times New Roman" w:hAnsi="Times New Roman"/>
        </w:rPr>
        <w:t xml:space="preserve"> (cette liste n’est pas limitative)</w:t>
      </w:r>
      <w:r w:rsidR="008442BD" w:rsidRPr="00C61182">
        <w:rPr>
          <w:rFonts w:ascii="Times New Roman" w:hAnsi="Times New Roman"/>
        </w:rPr>
        <w:t>.</w:t>
      </w:r>
    </w:p>
    <w:p w14:paraId="14B043B2" w14:textId="77777777" w:rsidR="00C61182" w:rsidRPr="00C61182" w:rsidRDefault="00C61182" w:rsidP="00C61182">
      <w:pPr>
        <w:pStyle w:val="Paragraphedeliste"/>
        <w:jc w:val="both"/>
        <w:rPr>
          <w:rFonts w:ascii="Times New Roman" w:hAnsi="Times New Roman"/>
        </w:rPr>
      </w:pPr>
    </w:p>
    <w:p w14:paraId="74F4A288" w14:textId="218E547A" w:rsidR="00DE7AFF" w:rsidRPr="00C61182" w:rsidRDefault="001368CB" w:rsidP="009A79B6">
      <w:pPr>
        <w:pStyle w:val="Paragraphedeliste"/>
        <w:numPr>
          <w:ilvl w:val="0"/>
          <w:numId w:val="12"/>
        </w:numPr>
        <w:spacing w:after="240"/>
        <w:rPr>
          <w:rFonts w:ascii="Times New Roman" w:hAnsi="Times New Roman"/>
          <w:b/>
          <w:bCs/>
        </w:rPr>
      </w:pPr>
      <w:r w:rsidRPr="00C61182">
        <w:rPr>
          <w:rFonts w:ascii="Times New Roman" w:hAnsi="Times New Roman"/>
          <w:b/>
          <w:bCs/>
        </w:rPr>
        <w:t xml:space="preserve">Conditions d’octroi </w:t>
      </w:r>
      <w:r w:rsidR="009A79B6" w:rsidRPr="00C61182">
        <w:rPr>
          <w:rFonts w:ascii="Times New Roman" w:hAnsi="Times New Roman"/>
          <w:b/>
          <w:bCs/>
        </w:rPr>
        <w:t>:</w:t>
      </w:r>
    </w:p>
    <w:p w14:paraId="0D9374AB" w14:textId="61C2F810" w:rsidR="006A5114" w:rsidRPr="00C61182" w:rsidRDefault="006A5114" w:rsidP="006A5114">
      <w:pPr>
        <w:jc w:val="both"/>
        <w:rPr>
          <w:rFonts w:ascii="Times New Roman" w:hAnsi="Times New Roman" w:cs="Times New Roman"/>
          <w:b/>
          <w:bCs/>
          <w:kern w:val="36"/>
        </w:rPr>
      </w:pPr>
      <w:r w:rsidRPr="00C61182">
        <w:rPr>
          <w:rFonts w:ascii="Times New Roman" w:hAnsi="Times New Roman" w:cs="Times New Roman"/>
          <w:b/>
          <w:bCs/>
          <w:kern w:val="36"/>
        </w:rPr>
        <w:t xml:space="preserve">Protection fonctionnelle : </w:t>
      </w:r>
      <w:r w:rsidR="00027618" w:rsidRPr="00C61182">
        <w:rPr>
          <w:rFonts w:ascii="Times New Roman" w:hAnsi="Times New Roman" w:cs="Times New Roman"/>
          <w:shd w:val="clear" w:color="auto" w:fill="FFFFFF"/>
        </w:rPr>
        <w:t>agent mis en cause pénalement ou civilement</w:t>
      </w:r>
      <w:r w:rsidR="00027618" w:rsidRPr="00C61182" w:rsidDel="00027618">
        <w:rPr>
          <w:rFonts w:ascii="Times New Roman" w:hAnsi="Times New Roman" w:cs="Times New Roman"/>
          <w:b/>
          <w:bCs/>
          <w:kern w:val="36"/>
        </w:rPr>
        <w:t xml:space="preserve"> </w:t>
      </w:r>
    </w:p>
    <w:p w14:paraId="6CEF7DE3" w14:textId="77777777" w:rsidR="006A5114" w:rsidRPr="00C61182" w:rsidRDefault="006A5114" w:rsidP="006A5114">
      <w:pPr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La protection fonctionnelle peut être accordée au fonctionnaire (stagiaire ou titulaire) ou ancien fonctionnaire, et à l'agent contractuel ou ancien agent contractuel.</w:t>
      </w:r>
    </w:p>
    <w:p w14:paraId="106727F9" w14:textId="0A44EE09" w:rsidR="006A5114" w:rsidRPr="00C61182" w:rsidRDefault="006A5114" w:rsidP="006A5114">
      <w:pPr>
        <w:jc w:val="both"/>
        <w:rPr>
          <w:rFonts w:ascii="Times New Roman" w:hAnsi="Times New Roman" w:cs="Times New Roman"/>
          <w:b/>
          <w:bCs/>
          <w:kern w:val="36"/>
        </w:rPr>
      </w:pPr>
      <w:r w:rsidRPr="00C61182">
        <w:rPr>
          <w:rFonts w:ascii="Times New Roman" w:hAnsi="Times New Roman" w:cs="Times New Roman"/>
          <w:b/>
          <w:bCs/>
          <w:kern w:val="36"/>
        </w:rPr>
        <w:t>Protection fonctionnelle : agent public victime</w:t>
      </w:r>
    </w:p>
    <w:p w14:paraId="60752A5C" w14:textId="77777777" w:rsidR="006A5114" w:rsidRPr="00C61182" w:rsidRDefault="006A5114" w:rsidP="006A5114">
      <w:pPr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La protection fonctionnelle peut être accordée :</w:t>
      </w:r>
    </w:p>
    <w:p w14:paraId="09E70063" w14:textId="77777777" w:rsidR="006A5114" w:rsidRPr="00C61182" w:rsidRDefault="006A5114" w:rsidP="006A511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C61182">
        <w:rPr>
          <w:rFonts w:ascii="Times New Roman" w:hAnsi="Times New Roman"/>
        </w:rPr>
        <w:t>aux</w:t>
      </w:r>
      <w:proofErr w:type="gramEnd"/>
      <w:r w:rsidRPr="00C61182">
        <w:rPr>
          <w:rFonts w:ascii="Times New Roman" w:hAnsi="Times New Roman"/>
        </w:rPr>
        <w:t xml:space="preserve"> fonctionnaires (stagiaires et titulaires) et anciens fonctionnaires,</w:t>
      </w:r>
    </w:p>
    <w:p w14:paraId="7E069E31" w14:textId="77777777" w:rsidR="006A5114" w:rsidRPr="00C61182" w:rsidRDefault="006A5114" w:rsidP="006A511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C61182">
        <w:rPr>
          <w:rFonts w:ascii="Times New Roman" w:hAnsi="Times New Roman"/>
        </w:rPr>
        <w:t>aux</w:t>
      </w:r>
      <w:proofErr w:type="gramEnd"/>
      <w:r w:rsidRPr="00C61182">
        <w:rPr>
          <w:rFonts w:ascii="Times New Roman" w:hAnsi="Times New Roman"/>
        </w:rPr>
        <w:t xml:space="preserve"> agents contractuels et anciens agents contractuels,</w:t>
      </w:r>
    </w:p>
    <w:p w14:paraId="5EEFC1E6" w14:textId="06957546" w:rsidR="006A5114" w:rsidRPr="00C61182" w:rsidRDefault="006A5114" w:rsidP="006A5114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C61182">
        <w:rPr>
          <w:rFonts w:ascii="Times New Roman" w:hAnsi="Times New Roman"/>
        </w:rPr>
        <w:t>au</w:t>
      </w:r>
      <w:proofErr w:type="gramEnd"/>
      <w:r w:rsidRPr="00C61182">
        <w:rPr>
          <w:rFonts w:ascii="Times New Roman" w:hAnsi="Times New Roman"/>
        </w:rPr>
        <w:t xml:space="preserve"> </w:t>
      </w:r>
      <w:r w:rsidRPr="00C61182">
        <w:rPr>
          <w:rFonts w:ascii="Times New Roman" w:hAnsi="Times New Roman"/>
          <w:iCs/>
        </w:rPr>
        <w:t>conjoint</w:t>
      </w:r>
      <w:r w:rsidR="0076509F" w:rsidRPr="00C61182">
        <w:rPr>
          <w:rFonts w:ascii="Times New Roman" w:hAnsi="Times New Roman"/>
          <w:iCs/>
        </w:rPr>
        <w:t>, au partenaire lié par un pacte civil de solidarité, au concubin de l’agent,</w:t>
      </w:r>
      <w:r w:rsidRPr="00C61182">
        <w:rPr>
          <w:rFonts w:ascii="Times New Roman" w:hAnsi="Times New Roman"/>
        </w:rPr>
        <w:t xml:space="preserve"> à ses enfants et </w:t>
      </w:r>
      <w:r w:rsidR="0076509F" w:rsidRPr="00C61182">
        <w:rPr>
          <w:rFonts w:ascii="Times New Roman" w:hAnsi="Times New Roman"/>
        </w:rPr>
        <w:t>à ses ascendants directs :</w:t>
      </w:r>
    </w:p>
    <w:p w14:paraId="219865F1" w14:textId="71B51BE7" w:rsidR="0076509F" w:rsidRPr="00C61182" w:rsidRDefault="0076509F" w:rsidP="0076509F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C61182">
        <w:rPr>
          <w:rFonts w:ascii="Times New Roman" w:hAnsi="Times New Roman"/>
        </w:rPr>
        <w:t>pour</w:t>
      </w:r>
      <w:proofErr w:type="gramEnd"/>
      <w:r w:rsidRPr="00C61182">
        <w:rPr>
          <w:rFonts w:ascii="Times New Roman" w:hAnsi="Times New Roman"/>
        </w:rPr>
        <w:t xml:space="preserve"> les instances civiles ou pénales qu’ils engagent contre les auteurs d’atteintes volontaires à l’intégrité de la personne dont ils sont eux-mêmes victimes du fait des fonctions exercées par l’agent ;</w:t>
      </w:r>
    </w:p>
    <w:p w14:paraId="42C83B22" w14:textId="5CA7829F" w:rsidR="0076509F" w:rsidRPr="00C61182" w:rsidRDefault="0076509F" w:rsidP="0076509F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gramStart"/>
      <w:r w:rsidRPr="00C61182">
        <w:rPr>
          <w:rFonts w:ascii="Times New Roman" w:hAnsi="Times New Roman"/>
        </w:rPr>
        <w:t>pour</w:t>
      </w:r>
      <w:proofErr w:type="gramEnd"/>
      <w:r w:rsidRPr="00C61182">
        <w:rPr>
          <w:rFonts w:ascii="Times New Roman" w:hAnsi="Times New Roman"/>
        </w:rPr>
        <w:t xml:space="preserve"> une instance civile ou pénale contre les auteurs d’atteintes volontaires à la vie de l’agent du fait des fonctions exercées par celui-ci. </w:t>
      </w:r>
    </w:p>
    <w:p w14:paraId="1E6941B0" w14:textId="37652B07" w:rsidR="00A150A5" w:rsidRPr="00C61182" w:rsidRDefault="00A150A5">
      <w:pPr>
        <w:rPr>
          <w:rFonts w:ascii="Times New Roman" w:hAnsi="Times New Roman" w:cs="Times New Roman"/>
          <w:vanish/>
        </w:rPr>
      </w:pPr>
      <w:r w:rsidRPr="00C61182">
        <w:rPr>
          <w:rFonts w:ascii="Times New Roman" w:hAnsi="Times New Roman" w:cs="Times New Roman"/>
          <w:vanish/>
        </w:rPr>
        <w:br w:type="page"/>
      </w:r>
    </w:p>
    <w:p w14:paraId="0F290E8A" w14:textId="0DF6BDB9" w:rsidR="001644CB" w:rsidRPr="00C61182" w:rsidRDefault="001368CB" w:rsidP="009A79B6">
      <w:pPr>
        <w:pStyle w:val="Paragraphedeliste"/>
        <w:numPr>
          <w:ilvl w:val="0"/>
          <w:numId w:val="12"/>
        </w:numPr>
        <w:spacing w:after="240"/>
        <w:rPr>
          <w:rFonts w:ascii="Times New Roman" w:hAnsi="Times New Roman"/>
          <w:b/>
          <w:bCs/>
        </w:rPr>
      </w:pPr>
      <w:r w:rsidRPr="00C61182">
        <w:rPr>
          <w:rFonts w:ascii="Times New Roman" w:hAnsi="Times New Roman"/>
          <w:b/>
          <w:bCs/>
        </w:rPr>
        <w:t xml:space="preserve">Modalités de la demande de bénéfice de la protection </w:t>
      </w:r>
      <w:r w:rsidR="009A79B6" w:rsidRPr="00C61182">
        <w:rPr>
          <w:rFonts w:ascii="Times New Roman" w:hAnsi="Times New Roman"/>
          <w:b/>
          <w:bCs/>
        </w:rPr>
        <w:t>:</w:t>
      </w:r>
    </w:p>
    <w:p w14:paraId="71DA0D4E" w14:textId="6FC47047" w:rsidR="004C25A9" w:rsidRPr="00C61182" w:rsidRDefault="001644CB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L’agent victime ou mis en cause civilement ou pénalement formalise sa demande de protection dans les délais les plus brefs en remplissant le formulaire</w:t>
      </w:r>
      <w:r w:rsidR="007A2432" w:rsidRPr="00C61182">
        <w:rPr>
          <w:rFonts w:ascii="Times New Roman" w:hAnsi="Times New Roman" w:cs="Times New Roman"/>
        </w:rPr>
        <w:t xml:space="preserve"> dédié</w:t>
      </w:r>
      <w:r w:rsidR="008F5520" w:rsidRPr="00C61182">
        <w:rPr>
          <w:rFonts w:ascii="Times New Roman" w:hAnsi="Times New Roman" w:cs="Times New Roman"/>
        </w:rPr>
        <w:t xml:space="preserve"> ou par courrier adressé</w:t>
      </w:r>
      <w:r w:rsidR="002C48AB" w:rsidRPr="00C61182">
        <w:rPr>
          <w:rFonts w:ascii="Times New Roman" w:hAnsi="Times New Roman" w:cs="Times New Roman"/>
        </w:rPr>
        <w:t xml:space="preserve"> </w:t>
      </w:r>
      <w:r w:rsidR="004C25A9" w:rsidRPr="00C61182">
        <w:rPr>
          <w:rFonts w:ascii="Times New Roman" w:hAnsi="Times New Roman" w:cs="Times New Roman"/>
        </w:rPr>
        <w:t xml:space="preserve">au service compétent, sous couvert de sa hiérarchie. </w:t>
      </w:r>
      <w:r w:rsidR="006A3975" w:rsidRPr="00C61182">
        <w:rPr>
          <w:rFonts w:ascii="Times New Roman" w:hAnsi="Times New Roman" w:cs="Times New Roman"/>
        </w:rPr>
        <w:t xml:space="preserve">L’agent doit adresser sa demande à l’administration qui l’employait à la date des faits (même si l’agent a connu un changement d’affectation après la date de survenance des faits en cause). </w:t>
      </w:r>
      <w:r w:rsidR="004C25A9" w:rsidRPr="00C61182">
        <w:rPr>
          <w:rFonts w:ascii="Times New Roman" w:hAnsi="Times New Roman" w:cs="Times New Roman"/>
        </w:rPr>
        <w:t xml:space="preserve">Cette demande doit comporter toutes précisions utiles sur les faits ou les poursuites et être accompagnée de toutes les pièces utiles pour éclairer l’administration dans sa prise de décision. </w:t>
      </w:r>
    </w:p>
    <w:p w14:paraId="3DE3E5CF" w14:textId="73DC07AB" w:rsidR="009D6FAB" w:rsidRPr="00C61182" w:rsidRDefault="009D6FAB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Le supérieur hiérarchique et le chef de service de l’agent accompagne</w:t>
      </w:r>
      <w:r w:rsidR="00F036D3" w:rsidRPr="00C61182">
        <w:rPr>
          <w:rFonts w:ascii="Times New Roman" w:hAnsi="Times New Roman" w:cs="Times New Roman"/>
        </w:rPr>
        <w:t>nt</w:t>
      </w:r>
      <w:r w:rsidRPr="00C61182">
        <w:rPr>
          <w:rFonts w:ascii="Times New Roman" w:hAnsi="Times New Roman" w:cs="Times New Roman"/>
        </w:rPr>
        <w:t xml:space="preserve"> </w:t>
      </w:r>
      <w:r w:rsidR="00F036D3" w:rsidRPr="00C61182">
        <w:rPr>
          <w:rFonts w:ascii="Times New Roman" w:hAnsi="Times New Roman" w:cs="Times New Roman"/>
        </w:rPr>
        <w:t xml:space="preserve">celui-ci </w:t>
      </w:r>
      <w:r w:rsidRPr="00C61182">
        <w:rPr>
          <w:rFonts w:ascii="Times New Roman" w:hAnsi="Times New Roman" w:cs="Times New Roman"/>
        </w:rPr>
        <w:t xml:space="preserve">tout au long du processus. </w:t>
      </w:r>
    </w:p>
    <w:p w14:paraId="4128FB2C" w14:textId="3E882DEF" w:rsidR="006A3975" w:rsidRPr="00C61182" w:rsidRDefault="00407CEA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 xml:space="preserve">La demande de protection fonctionnelle devra être communiquée à la direction des affaires juridiques (DAJ) du </w:t>
      </w:r>
      <w:r w:rsidR="00D076A9" w:rsidRPr="00C61182">
        <w:rPr>
          <w:rFonts w:ascii="Times New Roman" w:hAnsi="Times New Roman" w:cs="Times New Roman"/>
        </w:rPr>
        <w:t>s</w:t>
      </w:r>
      <w:r w:rsidRPr="00C61182">
        <w:rPr>
          <w:rFonts w:ascii="Times New Roman" w:hAnsi="Times New Roman" w:cs="Times New Roman"/>
        </w:rPr>
        <w:t xml:space="preserve">ecrétariat général des ministères sociaux, compétente pour toutes les demandes de protection fonctionnelle des agents des services déconcentrés et d’administration centrale des ministères </w:t>
      </w:r>
      <w:r w:rsidRPr="00C61182">
        <w:rPr>
          <w:rFonts w:ascii="Times New Roman" w:hAnsi="Times New Roman" w:cs="Times New Roman"/>
        </w:rPr>
        <w:lastRenderedPageBreak/>
        <w:t xml:space="preserve">sociaux. </w:t>
      </w:r>
      <w:r w:rsidR="00CF5F26" w:rsidRPr="00C61182">
        <w:rPr>
          <w:rFonts w:ascii="Times New Roman" w:hAnsi="Times New Roman" w:cs="Times New Roman"/>
        </w:rPr>
        <w:t>A la réception de la demande, le département droit privé et déontologie de la DAJ procède</w:t>
      </w:r>
      <w:r w:rsidR="00A150A5" w:rsidRPr="00C61182">
        <w:rPr>
          <w:rFonts w:ascii="Times New Roman" w:hAnsi="Times New Roman" w:cs="Times New Roman"/>
        </w:rPr>
        <w:t xml:space="preserve">, dans les meilleurs délais, </w:t>
      </w:r>
      <w:r w:rsidR="00CF5F26" w:rsidRPr="00C61182">
        <w:rPr>
          <w:rFonts w:ascii="Times New Roman" w:hAnsi="Times New Roman" w:cs="Times New Roman"/>
        </w:rPr>
        <w:t>à l’instruction du dossier.</w:t>
      </w:r>
    </w:p>
    <w:p w14:paraId="0B81D718" w14:textId="279DFD1D" w:rsidR="0011697F" w:rsidRPr="00C61182" w:rsidRDefault="0011697F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 xml:space="preserve">En cas de poursuites </w:t>
      </w:r>
      <w:r w:rsidR="004B7FBD" w:rsidRPr="00C61182">
        <w:rPr>
          <w:rFonts w:ascii="Times New Roman" w:hAnsi="Times New Roman" w:cs="Times New Roman"/>
          <w:bCs/>
        </w:rPr>
        <w:t xml:space="preserve">pour faute de service </w:t>
      </w:r>
      <w:r w:rsidRPr="00C61182">
        <w:rPr>
          <w:rFonts w:ascii="Times New Roman" w:hAnsi="Times New Roman" w:cs="Times New Roman"/>
        </w:rPr>
        <w:t>devant</w:t>
      </w:r>
      <w:r w:rsidR="008B1F8A" w:rsidRPr="00C61182">
        <w:rPr>
          <w:rFonts w:ascii="Times New Roman" w:hAnsi="Times New Roman" w:cs="Times New Roman"/>
        </w:rPr>
        <w:t xml:space="preserve"> une juridiction civile, la demande doit être accompagnée de toute citation ou assignation délivrée pour ces faits. </w:t>
      </w:r>
    </w:p>
    <w:p w14:paraId="2390A2BE" w14:textId="3DFB31F1" w:rsidR="008B1F8A" w:rsidRPr="00C61182" w:rsidRDefault="008B1F8A" w:rsidP="009C3AA3">
      <w:pPr>
        <w:ind w:firstLine="360"/>
        <w:jc w:val="both"/>
        <w:rPr>
          <w:rFonts w:ascii="Times New Roman" w:hAnsi="Times New Roman" w:cs="Times New Roman"/>
          <w:bCs/>
        </w:rPr>
      </w:pPr>
      <w:r w:rsidRPr="00C61182">
        <w:rPr>
          <w:rFonts w:ascii="Times New Roman" w:hAnsi="Times New Roman" w:cs="Times New Roman"/>
        </w:rPr>
        <w:t xml:space="preserve">En cas de poursuites </w:t>
      </w:r>
      <w:r w:rsidR="00027618" w:rsidRPr="00C61182">
        <w:rPr>
          <w:rFonts w:ascii="Times New Roman" w:hAnsi="Times New Roman" w:cs="Times New Roman"/>
        </w:rPr>
        <w:t xml:space="preserve">devant une juridiction </w:t>
      </w:r>
      <w:r w:rsidRPr="00C61182">
        <w:rPr>
          <w:rFonts w:ascii="Times New Roman" w:hAnsi="Times New Roman" w:cs="Times New Roman"/>
        </w:rPr>
        <w:t>pénale, les poursuites s’entendent de la mise en mouvement de l’action publique avec matérialisation des actes de poursuite et non pas de la simple</w:t>
      </w:r>
      <w:r w:rsidRPr="00C61182">
        <w:rPr>
          <w:rFonts w:ascii="Times New Roman" w:hAnsi="Times New Roman" w:cs="Times New Roman"/>
          <w:bCs/>
        </w:rPr>
        <w:t xml:space="preserve"> information qu’une plainte a été déposée contre l’agent. Une convocation en qualité de simple témoin ne constitue pas un acte de poursuite.</w:t>
      </w:r>
      <w:r w:rsidR="00A150A5" w:rsidRPr="00C61182">
        <w:rPr>
          <w:rFonts w:ascii="Times New Roman" w:hAnsi="Times New Roman" w:cs="Times New Roman"/>
          <w:bCs/>
        </w:rPr>
        <w:t xml:space="preserve"> </w:t>
      </w:r>
    </w:p>
    <w:p w14:paraId="34C9D455" w14:textId="2FF6F52C" w:rsidR="00F83DB4" w:rsidRDefault="008B1F8A" w:rsidP="00C6118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 xml:space="preserve">En ce qui concerne les cas d’atteintes volontaires à l’intégrité de la personne, de violences, d’agissements constitutifs de harcèlement, de menaces, d’injures, de diffamations ou d’outrages, aucun dépôt de plainte n’est exigé au préalable pour l’instruction de la demande. </w:t>
      </w:r>
    </w:p>
    <w:p w14:paraId="302855FA" w14:textId="77777777" w:rsidR="00C61182" w:rsidRPr="00C61182" w:rsidRDefault="00C61182" w:rsidP="00C61182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2271EEFF" w14:textId="22F89070" w:rsidR="008B1F8A" w:rsidRPr="00C61182" w:rsidRDefault="008B1F8A" w:rsidP="009C3AA3">
      <w:pPr>
        <w:ind w:firstLine="360"/>
        <w:jc w:val="both"/>
        <w:rPr>
          <w:rFonts w:ascii="Times New Roman" w:hAnsi="Times New Roman" w:cs="Times New Roman"/>
          <w:bCs/>
        </w:rPr>
      </w:pPr>
      <w:r w:rsidRPr="00C61182">
        <w:rPr>
          <w:rFonts w:ascii="Times New Roman" w:hAnsi="Times New Roman" w:cs="Times New Roman"/>
          <w:bCs/>
        </w:rPr>
        <w:t xml:space="preserve">Dans les trois hypothèses précitées, les faits doivent se rattacher à l’exercice des fonctions de l’agent. </w:t>
      </w:r>
      <w:r w:rsidR="004A08E2" w:rsidRPr="00C61182">
        <w:rPr>
          <w:rFonts w:ascii="Times New Roman" w:hAnsi="Times New Roman" w:cs="Times New Roman"/>
          <w:bCs/>
        </w:rPr>
        <w:t>Par ailleurs, la</w:t>
      </w:r>
      <w:r w:rsidRPr="00C61182">
        <w:rPr>
          <w:rFonts w:ascii="Times New Roman" w:hAnsi="Times New Roman" w:cs="Times New Roman"/>
          <w:bCs/>
        </w:rPr>
        <w:t xml:space="preserve"> DAJ apprécie l'exception de faute personnelle susceptible de justifier, le cas échéant, un rejet de la demande de protection.</w:t>
      </w:r>
    </w:p>
    <w:p w14:paraId="23D27762" w14:textId="5D51F1EE" w:rsidR="00993603" w:rsidRPr="00C61182" w:rsidRDefault="00993603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 xml:space="preserve">La </w:t>
      </w:r>
      <w:r w:rsidR="00D076A9" w:rsidRPr="00C61182">
        <w:rPr>
          <w:rFonts w:ascii="Times New Roman" w:hAnsi="Times New Roman" w:cs="Times New Roman"/>
        </w:rPr>
        <w:t>direction des ressources humaines des ministères sociaux (</w:t>
      </w:r>
      <w:r w:rsidRPr="00C61182">
        <w:rPr>
          <w:rFonts w:ascii="Times New Roman" w:hAnsi="Times New Roman" w:cs="Times New Roman"/>
        </w:rPr>
        <w:t>DRH</w:t>
      </w:r>
      <w:r w:rsidR="00D076A9" w:rsidRPr="00C61182">
        <w:rPr>
          <w:rFonts w:ascii="Times New Roman" w:hAnsi="Times New Roman" w:cs="Times New Roman"/>
        </w:rPr>
        <w:t>)</w:t>
      </w:r>
      <w:r w:rsidRPr="00C61182">
        <w:rPr>
          <w:rFonts w:ascii="Times New Roman" w:hAnsi="Times New Roman" w:cs="Times New Roman"/>
        </w:rPr>
        <w:t xml:space="preserve"> est associée à l’instruction et au suivi des demandes de protection fonctionnelle susceptibles d</w:t>
      </w:r>
      <w:r w:rsidR="00F036D3" w:rsidRPr="00C61182">
        <w:rPr>
          <w:rFonts w:ascii="Times New Roman" w:hAnsi="Times New Roman" w:cs="Times New Roman"/>
        </w:rPr>
        <w:t xml:space="preserve">’avoir </w:t>
      </w:r>
      <w:r w:rsidRPr="00C61182">
        <w:rPr>
          <w:rFonts w:ascii="Times New Roman" w:hAnsi="Times New Roman" w:cs="Times New Roman"/>
        </w:rPr>
        <w:t>des implications en matière de ressources humaines.</w:t>
      </w:r>
    </w:p>
    <w:p w14:paraId="1FD544F3" w14:textId="77777777" w:rsidR="00C61182" w:rsidRDefault="00DA7B25" w:rsidP="00C61182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La décision, comportant mention des voies et délais de recours, est notifiée à l'agent.</w:t>
      </w:r>
      <w:r w:rsidR="00A150A5" w:rsidRPr="00C61182">
        <w:rPr>
          <w:rFonts w:ascii="Times New Roman" w:hAnsi="Times New Roman" w:cs="Times New Roman"/>
        </w:rPr>
        <w:t xml:space="preserve"> </w:t>
      </w:r>
      <w:r w:rsidRPr="00C61182">
        <w:rPr>
          <w:rFonts w:ascii="Times New Roman" w:hAnsi="Times New Roman" w:cs="Times New Roman"/>
        </w:rPr>
        <w:t xml:space="preserve">S’agissant d’une décision créatrice de droit, elle ne peut être retirée au-delà d’un délai de quatre mois à compter de </w:t>
      </w:r>
      <w:r w:rsidRPr="00C61182">
        <w:rPr>
          <w:rFonts w:ascii="Times New Roman" w:hAnsi="Times New Roman" w:cs="Times New Roman"/>
          <w:bCs/>
        </w:rPr>
        <w:t>sa notification</w:t>
      </w:r>
      <w:r w:rsidRPr="00C61182">
        <w:rPr>
          <w:rFonts w:ascii="Times New Roman" w:hAnsi="Times New Roman" w:cs="Times New Roman"/>
          <w:b/>
          <w:bCs/>
        </w:rPr>
        <w:t> </w:t>
      </w:r>
      <w:r w:rsidRPr="00C61182">
        <w:rPr>
          <w:rFonts w:ascii="Times New Roman" w:hAnsi="Times New Roman" w:cs="Times New Roman"/>
        </w:rPr>
        <w:t>(sauf si la décision d’octroi a été obtenue par fraude).</w:t>
      </w:r>
      <w:r w:rsidR="00F036D3" w:rsidRPr="00C61182">
        <w:rPr>
          <w:rFonts w:ascii="Times New Roman" w:hAnsi="Times New Roman" w:cs="Times New Roman"/>
        </w:rPr>
        <w:t xml:space="preserve"> </w:t>
      </w:r>
      <w:r w:rsidRPr="00C61182">
        <w:rPr>
          <w:rFonts w:ascii="Times New Roman" w:hAnsi="Times New Roman" w:cs="Times New Roman"/>
        </w:rPr>
        <w:t>Toutefois, au vu d’éléments nouveaux, l’administration peut décider de mettre fin, pour l’avenir, à la protection.</w:t>
      </w:r>
      <w:r w:rsidR="00A150A5" w:rsidRPr="00C61182">
        <w:rPr>
          <w:rFonts w:ascii="Times New Roman" w:hAnsi="Times New Roman" w:cs="Times New Roman"/>
        </w:rPr>
        <w:t xml:space="preserve"> </w:t>
      </w:r>
      <w:r w:rsidR="00CF5F26" w:rsidRPr="00C61182">
        <w:rPr>
          <w:rFonts w:ascii="Times New Roman" w:hAnsi="Times New Roman" w:cs="Times New Roman"/>
        </w:rPr>
        <w:t xml:space="preserve">L’absence de réponse de l’administration dans un délai de deux mois à compter de la réception de la demande vaut rejet </w:t>
      </w:r>
      <w:r w:rsidR="00630A30" w:rsidRPr="00C61182">
        <w:rPr>
          <w:rFonts w:ascii="Times New Roman" w:hAnsi="Times New Roman" w:cs="Times New Roman"/>
        </w:rPr>
        <w:t>conformément au droit commun.</w:t>
      </w:r>
    </w:p>
    <w:p w14:paraId="2671D5F4" w14:textId="012AD2A9" w:rsidR="00DE7AFF" w:rsidRPr="00C61182" w:rsidRDefault="001368CB" w:rsidP="00C61182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</w:rPr>
      </w:pPr>
      <w:r w:rsidRPr="00C61182">
        <w:rPr>
          <w:rFonts w:ascii="Times New Roman" w:hAnsi="Times New Roman"/>
          <w:b/>
          <w:bCs/>
        </w:rPr>
        <w:t xml:space="preserve">Mise en œuvre </w:t>
      </w:r>
      <w:r w:rsidR="009A79B6" w:rsidRPr="00C61182">
        <w:rPr>
          <w:rFonts w:ascii="Times New Roman" w:hAnsi="Times New Roman"/>
          <w:b/>
          <w:bCs/>
        </w:rPr>
        <w:t>:</w:t>
      </w:r>
    </w:p>
    <w:p w14:paraId="55495B93" w14:textId="59CD8867" w:rsidR="004D181B" w:rsidRPr="00C61182" w:rsidRDefault="004D181B" w:rsidP="009C3AA3">
      <w:pPr>
        <w:ind w:firstLine="360"/>
        <w:jc w:val="both"/>
        <w:rPr>
          <w:rFonts w:ascii="Times New Roman" w:hAnsi="Times New Roman" w:cs="Times New Roman"/>
        </w:rPr>
      </w:pPr>
      <w:r w:rsidRPr="00C61182">
        <w:rPr>
          <w:rFonts w:ascii="Times New Roman" w:hAnsi="Times New Roman" w:cs="Times New Roman"/>
        </w:rPr>
        <w:t>Il appartient à l’administration de définir les modalités de la protection fonctionnelle en fonction de la situation, étant précisé que ces modalités ne sont pas exclusives les unes des autres.</w:t>
      </w:r>
    </w:p>
    <w:p w14:paraId="3ACB505D" w14:textId="1B3A44B3" w:rsidR="00153D1B" w:rsidRPr="00C61182" w:rsidRDefault="00153D1B" w:rsidP="009C3AA3">
      <w:pPr>
        <w:ind w:firstLine="360"/>
        <w:jc w:val="both"/>
        <w:rPr>
          <w:rFonts w:ascii="Times New Roman" w:hAnsi="Times New Roman" w:cs="Times New Roman"/>
          <w:bCs/>
        </w:rPr>
      </w:pPr>
      <w:r w:rsidRPr="00C61182">
        <w:rPr>
          <w:rFonts w:ascii="Times New Roman" w:hAnsi="Times New Roman" w:cs="Times New Roman"/>
          <w:bCs/>
        </w:rPr>
        <w:t xml:space="preserve">Les mesures à mettre en œuvre </w:t>
      </w:r>
      <w:r w:rsidRPr="00C61182">
        <w:rPr>
          <w:rFonts w:ascii="Times New Roman" w:hAnsi="Times New Roman" w:cs="Times New Roman"/>
        </w:rPr>
        <w:t>par la DRH</w:t>
      </w:r>
      <w:r w:rsidR="008D61E3" w:rsidRPr="00C61182">
        <w:rPr>
          <w:rFonts w:ascii="Times New Roman" w:hAnsi="Times New Roman" w:cs="Times New Roman"/>
        </w:rPr>
        <w:t xml:space="preserve">, </w:t>
      </w:r>
      <w:r w:rsidRPr="00C61182">
        <w:rPr>
          <w:rFonts w:ascii="Times New Roman" w:hAnsi="Times New Roman" w:cs="Times New Roman"/>
        </w:rPr>
        <w:t xml:space="preserve">par la DAJ ou </w:t>
      </w:r>
      <w:r w:rsidRPr="00C61182">
        <w:rPr>
          <w:rFonts w:ascii="Times New Roman" w:hAnsi="Times New Roman" w:cs="Times New Roman"/>
          <w:bCs/>
        </w:rPr>
        <w:t xml:space="preserve">par la hiérarchie de l’agent doivent être adaptées à chaque cas d’espèce et peuvent consister </w:t>
      </w:r>
      <w:r w:rsidR="004B7FBD" w:rsidRPr="00C61182">
        <w:rPr>
          <w:rFonts w:ascii="Times New Roman" w:hAnsi="Times New Roman" w:cs="Times New Roman"/>
          <w:bCs/>
        </w:rPr>
        <w:t xml:space="preserve">notamment </w:t>
      </w:r>
      <w:r w:rsidRPr="00C61182">
        <w:rPr>
          <w:rFonts w:ascii="Times New Roman" w:hAnsi="Times New Roman" w:cs="Times New Roman"/>
          <w:bCs/>
        </w:rPr>
        <w:t xml:space="preserve">en : </w:t>
      </w:r>
    </w:p>
    <w:p w14:paraId="6FC416FD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C61182">
        <w:rPr>
          <w:rFonts w:ascii="Times New Roman" w:hAnsi="Times New Roman"/>
        </w:rPr>
        <w:t>L’apport d’une assistance juridique et administrative au cours de la procédure ;</w:t>
      </w:r>
    </w:p>
    <w:p w14:paraId="50B2EB69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61182">
        <w:rPr>
          <w:rFonts w:ascii="Times New Roman" w:hAnsi="Times New Roman"/>
        </w:rPr>
        <w:t>Des actions de prévention et de soutien de l’agent ;</w:t>
      </w:r>
    </w:p>
    <w:p w14:paraId="7AFDEC97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C61182">
        <w:rPr>
          <w:rFonts w:ascii="Times New Roman" w:hAnsi="Times New Roman"/>
        </w:rPr>
        <w:t>Des mesures visant à assurer la sécurité de l’agent ;</w:t>
      </w:r>
    </w:p>
    <w:p w14:paraId="7A6A47B3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</w:rPr>
      </w:pPr>
      <w:r w:rsidRPr="00C61182">
        <w:rPr>
          <w:rFonts w:ascii="Times New Roman" w:hAnsi="Times New Roman"/>
        </w:rPr>
        <w:t>Le suivi de l’agent à son retour dans le service ;</w:t>
      </w:r>
    </w:p>
    <w:p w14:paraId="5A4D9F21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C61182">
        <w:rPr>
          <w:rFonts w:ascii="Times New Roman" w:hAnsi="Times New Roman"/>
          <w:bCs/>
        </w:rPr>
        <w:t>L'o</w:t>
      </w:r>
      <w:r w:rsidRPr="00C61182">
        <w:rPr>
          <w:rFonts w:ascii="Times New Roman" w:hAnsi="Times New Roman"/>
        </w:rPr>
        <w:t>rganisation de réunions de médiation ou de conciliation ;</w:t>
      </w:r>
    </w:p>
    <w:p w14:paraId="6EDE8DA0" w14:textId="77777777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61182">
        <w:rPr>
          <w:rFonts w:ascii="Times New Roman" w:hAnsi="Times New Roman"/>
        </w:rPr>
        <w:t>Une information du procureur de la République ;</w:t>
      </w:r>
    </w:p>
    <w:p w14:paraId="6AEC2EC1" w14:textId="6D09E1C6" w:rsidR="00F84BD4" w:rsidRPr="00C61182" w:rsidRDefault="00F84BD4" w:rsidP="00F84BD4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C61182">
        <w:rPr>
          <w:rFonts w:ascii="Times New Roman" w:hAnsi="Times New Roman"/>
        </w:rPr>
        <w:t>La prise en charge éventuelle de frais d’avocat et de justice</w:t>
      </w:r>
      <w:r w:rsidR="003F32C4" w:rsidRPr="00C61182">
        <w:rPr>
          <w:rFonts w:ascii="Times New Roman" w:hAnsi="Times New Roman"/>
        </w:rPr>
        <w:t xml:space="preserve">, des limites étant prévues par le </w:t>
      </w:r>
      <w:r w:rsidR="003F32C4" w:rsidRPr="00C61182">
        <w:rPr>
          <w:rFonts w:ascii="Times New Roman" w:hAnsi="Times New Roman"/>
          <w:bCs/>
          <w:kern w:val="36"/>
        </w:rPr>
        <w:t>décret n° 2017-97 du 26 janvier 2017</w:t>
      </w:r>
      <w:r w:rsidRPr="00C61182">
        <w:rPr>
          <w:rFonts w:ascii="Times New Roman" w:hAnsi="Times New Roman"/>
        </w:rPr>
        <w:t>. </w:t>
      </w:r>
    </w:p>
    <w:p w14:paraId="02956777" w14:textId="38AEF881" w:rsidR="00F84BD4" w:rsidRPr="00C61182" w:rsidRDefault="00F84BD4" w:rsidP="00153D1B">
      <w:pPr>
        <w:jc w:val="both"/>
        <w:rPr>
          <w:rFonts w:ascii="Times New Roman" w:hAnsi="Times New Roman" w:cs="Times New Roman"/>
          <w:b/>
          <w:bCs/>
        </w:rPr>
      </w:pPr>
    </w:p>
    <w:p w14:paraId="62205175" w14:textId="77777777" w:rsidR="003415FD" w:rsidRPr="00C61182" w:rsidRDefault="003415FD" w:rsidP="006A5114">
      <w:pPr>
        <w:jc w:val="both"/>
        <w:rPr>
          <w:rFonts w:ascii="Times New Roman" w:hAnsi="Times New Roman" w:cs="Times New Roman"/>
          <w:strike/>
        </w:rPr>
      </w:pPr>
    </w:p>
    <w:sectPr w:rsidR="003415FD" w:rsidRPr="00C61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7279" w14:textId="77777777" w:rsidR="000E4E5F" w:rsidRDefault="000E4E5F" w:rsidP="006A5114">
      <w:pPr>
        <w:spacing w:after="0" w:line="240" w:lineRule="auto"/>
      </w:pPr>
      <w:r>
        <w:separator/>
      </w:r>
    </w:p>
  </w:endnote>
  <w:endnote w:type="continuationSeparator" w:id="0">
    <w:p w14:paraId="5DCD6BFD" w14:textId="77777777" w:rsidR="000E4E5F" w:rsidRDefault="000E4E5F" w:rsidP="006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40F9" w14:textId="77777777" w:rsidR="0014189F" w:rsidRDefault="00141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7A12" w14:textId="77777777" w:rsidR="0014189F" w:rsidRDefault="001418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DF88" w14:textId="77777777" w:rsidR="0014189F" w:rsidRDefault="00141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3DD8" w14:textId="77777777" w:rsidR="000E4E5F" w:rsidRDefault="000E4E5F" w:rsidP="006A5114">
      <w:pPr>
        <w:spacing w:after="0" w:line="240" w:lineRule="auto"/>
      </w:pPr>
      <w:r>
        <w:separator/>
      </w:r>
    </w:p>
  </w:footnote>
  <w:footnote w:type="continuationSeparator" w:id="0">
    <w:p w14:paraId="60FAD5DA" w14:textId="77777777" w:rsidR="000E4E5F" w:rsidRDefault="000E4E5F" w:rsidP="006A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4BBA" w14:textId="2D9067A6" w:rsidR="0014189F" w:rsidRDefault="000E4E5F">
    <w:pPr>
      <w:pStyle w:val="En-tte"/>
    </w:pPr>
    <w:r>
      <w:rPr>
        <w:noProof/>
      </w:rPr>
      <w:pict w14:anchorId="148E2E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244407" o:spid="_x0000_s2050" type="#_x0000_t136" style="position:absolute;margin-left:0;margin-top:0;width:423.6pt;height:21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3C3A" w14:textId="069920BF" w:rsidR="0014189F" w:rsidRDefault="000E4E5F">
    <w:pPr>
      <w:pStyle w:val="En-tte"/>
    </w:pPr>
    <w:r>
      <w:rPr>
        <w:noProof/>
      </w:rPr>
      <w:pict w14:anchorId="7A681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244408" o:spid="_x0000_s2051" type="#_x0000_t136" style="position:absolute;margin-left:0;margin-top:0;width:423.6pt;height:21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688B" w14:textId="1A47B783" w:rsidR="0014189F" w:rsidRDefault="000E4E5F">
    <w:pPr>
      <w:pStyle w:val="En-tte"/>
    </w:pPr>
    <w:r>
      <w:rPr>
        <w:noProof/>
      </w:rPr>
      <w:pict w14:anchorId="2A6FB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244406" o:spid="_x0000_s2049" type="#_x0000_t136" style="position:absolute;margin-left:0;margin-top:0;width:423.6pt;height:21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283"/>
    <w:multiLevelType w:val="hybridMultilevel"/>
    <w:tmpl w:val="05C84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59F"/>
    <w:multiLevelType w:val="hybridMultilevel"/>
    <w:tmpl w:val="B92C7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48"/>
    <w:multiLevelType w:val="hybridMultilevel"/>
    <w:tmpl w:val="6FF6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1BEB"/>
    <w:multiLevelType w:val="hybridMultilevel"/>
    <w:tmpl w:val="8D86DF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A2CA5"/>
    <w:multiLevelType w:val="hybridMultilevel"/>
    <w:tmpl w:val="F1643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46C1"/>
    <w:multiLevelType w:val="hybridMultilevel"/>
    <w:tmpl w:val="5A5CD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22394"/>
    <w:multiLevelType w:val="hybridMultilevel"/>
    <w:tmpl w:val="D8BAF9D4"/>
    <w:lvl w:ilvl="0" w:tplc="CA047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2F88"/>
    <w:multiLevelType w:val="hybridMultilevel"/>
    <w:tmpl w:val="8DBAB498"/>
    <w:lvl w:ilvl="0" w:tplc="1638C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B2B77"/>
    <w:multiLevelType w:val="hybridMultilevel"/>
    <w:tmpl w:val="CA3E56E4"/>
    <w:lvl w:ilvl="0" w:tplc="44DE5A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BE52A4"/>
    <w:multiLevelType w:val="hybridMultilevel"/>
    <w:tmpl w:val="679A1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73B4"/>
    <w:multiLevelType w:val="hybridMultilevel"/>
    <w:tmpl w:val="49803D7E"/>
    <w:lvl w:ilvl="0" w:tplc="B9A0D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A"/>
    <w:rsid w:val="000074E4"/>
    <w:rsid w:val="00027618"/>
    <w:rsid w:val="00037FDF"/>
    <w:rsid w:val="00046AA4"/>
    <w:rsid w:val="0005361A"/>
    <w:rsid w:val="000B3171"/>
    <w:rsid w:val="000E4E5F"/>
    <w:rsid w:val="000E5126"/>
    <w:rsid w:val="0011697F"/>
    <w:rsid w:val="001347A5"/>
    <w:rsid w:val="001368CB"/>
    <w:rsid w:val="0014189F"/>
    <w:rsid w:val="00147CB2"/>
    <w:rsid w:val="00153D1B"/>
    <w:rsid w:val="001644CB"/>
    <w:rsid w:val="001712B9"/>
    <w:rsid w:val="0017172B"/>
    <w:rsid w:val="001E3425"/>
    <w:rsid w:val="001E7D9A"/>
    <w:rsid w:val="00204BF7"/>
    <w:rsid w:val="00210964"/>
    <w:rsid w:val="0022538D"/>
    <w:rsid w:val="00250122"/>
    <w:rsid w:val="00277FB8"/>
    <w:rsid w:val="002C48AB"/>
    <w:rsid w:val="002E2459"/>
    <w:rsid w:val="003415FD"/>
    <w:rsid w:val="00350ACE"/>
    <w:rsid w:val="00356F5A"/>
    <w:rsid w:val="0038446A"/>
    <w:rsid w:val="003D510A"/>
    <w:rsid w:val="003F26D5"/>
    <w:rsid w:val="003F32C4"/>
    <w:rsid w:val="00407CEA"/>
    <w:rsid w:val="00420CF9"/>
    <w:rsid w:val="00424BA5"/>
    <w:rsid w:val="00446287"/>
    <w:rsid w:val="00464951"/>
    <w:rsid w:val="00497D6A"/>
    <w:rsid w:val="004A08E2"/>
    <w:rsid w:val="004A5F11"/>
    <w:rsid w:val="004B41D5"/>
    <w:rsid w:val="004B7FBD"/>
    <w:rsid w:val="004C25A9"/>
    <w:rsid w:val="004C4551"/>
    <w:rsid w:val="004C6805"/>
    <w:rsid w:val="004D181B"/>
    <w:rsid w:val="00533FCB"/>
    <w:rsid w:val="00547506"/>
    <w:rsid w:val="00557E95"/>
    <w:rsid w:val="005612E9"/>
    <w:rsid w:val="00567892"/>
    <w:rsid w:val="00575004"/>
    <w:rsid w:val="00582D17"/>
    <w:rsid w:val="00591489"/>
    <w:rsid w:val="005A46C5"/>
    <w:rsid w:val="005C4A6C"/>
    <w:rsid w:val="005E400F"/>
    <w:rsid w:val="0061253B"/>
    <w:rsid w:val="00620CF9"/>
    <w:rsid w:val="00630A30"/>
    <w:rsid w:val="0063178D"/>
    <w:rsid w:val="00664895"/>
    <w:rsid w:val="00667D61"/>
    <w:rsid w:val="006A188F"/>
    <w:rsid w:val="006A3975"/>
    <w:rsid w:val="006A5114"/>
    <w:rsid w:val="006B5619"/>
    <w:rsid w:val="0076509F"/>
    <w:rsid w:val="00773093"/>
    <w:rsid w:val="007A2432"/>
    <w:rsid w:val="007A3C65"/>
    <w:rsid w:val="007B0B98"/>
    <w:rsid w:val="007E4953"/>
    <w:rsid w:val="007F0867"/>
    <w:rsid w:val="0082499A"/>
    <w:rsid w:val="008442BD"/>
    <w:rsid w:val="008B1F8A"/>
    <w:rsid w:val="008D61E3"/>
    <w:rsid w:val="008F5520"/>
    <w:rsid w:val="00922376"/>
    <w:rsid w:val="00947AC6"/>
    <w:rsid w:val="00953D95"/>
    <w:rsid w:val="00993603"/>
    <w:rsid w:val="009A79B6"/>
    <w:rsid w:val="009C2776"/>
    <w:rsid w:val="009C3AA3"/>
    <w:rsid w:val="009C49F9"/>
    <w:rsid w:val="009D6FAB"/>
    <w:rsid w:val="009E686A"/>
    <w:rsid w:val="009E72F3"/>
    <w:rsid w:val="00A150A5"/>
    <w:rsid w:val="00A20D5B"/>
    <w:rsid w:val="00A32D7F"/>
    <w:rsid w:val="00A567C7"/>
    <w:rsid w:val="00AA6137"/>
    <w:rsid w:val="00AC7D1A"/>
    <w:rsid w:val="00B50722"/>
    <w:rsid w:val="00B524BD"/>
    <w:rsid w:val="00B818D3"/>
    <w:rsid w:val="00BE365E"/>
    <w:rsid w:val="00C127CE"/>
    <w:rsid w:val="00C47E0A"/>
    <w:rsid w:val="00C558D5"/>
    <w:rsid w:val="00C61182"/>
    <w:rsid w:val="00C743C0"/>
    <w:rsid w:val="00CB19BB"/>
    <w:rsid w:val="00CE73DC"/>
    <w:rsid w:val="00CF5F26"/>
    <w:rsid w:val="00D006CE"/>
    <w:rsid w:val="00D03023"/>
    <w:rsid w:val="00D076A9"/>
    <w:rsid w:val="00D12F72"/>
    <w:rsid w:val="00D50724"/>
    <w:rsid w:val="00D53418"/>
    <w:rsid w:val="00D5644F"/>
    <w:rsid w:val="00DA7B25"/>
    <w:rsid w:val="00DB6429"/>
    <w:rsid w:val="00DE7AFF"/>
    <w:rsid w:val="00E24BC8"/>
    <w:rsid w:val="00ED443A"/>
    <w:rsid w:val="00F036D3"/>
    <w:rsid w:val="00F05911"/>
    <w:rsid w:val="00F12654"/>
    <w:rsid w:val="00F41B50"/>
    <w:rsid w:val="00F82F01"/>
    <w:rsid w:val="00F83DB4"/>
    <w:rsid w:val="00F84BD4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FE6D3F"/>
  <w15:chartTrackingRefBased/>
  <w15:docId w15:val="{9ECC0BCE-2AC3-4D0B-BD42-CAC3E3E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20D5B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51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511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1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51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A5114"/>
    <w:rPr>
      <w:rFonts w:ascii="Times New Roman" w:hAnsi="Times New Roman" w:cs="Times New Roman" w:hint="default"/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6A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6A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89F"/>
  </w:style>
  <w:style w:type="paragraph" w:styleId="Pieddepage">
    <w:name w:val="footer"/>
    <w:basedOn w:val="Normal"/>
    <w:link w:val="PieddepageCar"/>
    <w:uiPriority w:val="99"/>
    <w:unhideWhenUsed/>
    <w:rsid w:val="0014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0425-E49A-4544-8891-1EA6335B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Oruezabal</dc:creator>
  <cp:keywords/>
  <dc:description/>
  <cp:lastModifiedBy>JANNES, Henri (SYNDICATS/CFDT)</cp:lastModifiedBy>
  <cp:revision>2</cp:revision>
  <dcterms:created xsi:type="dcterms:W3CDTF">2021-02-17T05:36:00Z</dcterms:created>
  <dcterms:modified xsi:type="dcterms:W3CDTF">2021-02-17T05:36:00Z</dcterms:modified>
</cp:coreProperties>
</file>