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C6A" w:rsidRDefault="00E54C6A" w:rsidP="00E54C6A">
      <w:pPr>
        <w:spacing w:before="300" w:after="150" w:line="900" w:lineRule="atLeast"/>
        <w:outlineLvl w:val="0"/>
        <w:rPr>
          <w:rFonts w:ascii="Arial" w:eastAsia="Times New Roman" w:hAnsi="Arial" w:cs="Arial"/>
          <w:b/>
          <w:bCs/>
          <w:color w:val="222222"/>
          <w:kern w:val="36"/>
          <w:sz w:val="32"/>
          <w:szCs w:val="32"/>
          <w:lang w:eastAsia="fr-FR"/>
        </w:rPr>
      </w:pPr>
      <w:bookmarkStart w:id="0" w:name="_GoBack"/>
      <w:bookmarkEnd w:id="0"/>
      <w:r w:rsidRPr="00E54C6A">
        <w:rPr>
          <w:rFonts w:ascii="Arial" w:eastAsia="Times New Roman" w:hAnsi="Arial" w:cs="Arial"/>
          <w:b/>
          <w:bCs/>
          <w:color w:val="222222"/>
          <w:kern w:val="36"/>
          <w:sz w:val="32"/>
          <w:szCs w:val="32"/>
          <w:lang w:eastAsia="fr-FR"/>
        </w:rPr>
        <w:t>Aujourd’hui sur Acteurs Publics</w:t>
      </w:r>
    </w:p>
    <w:p w:rsidR="00E54C6A" w:rsidRPr="00E54C6A" w:rsidRDefault="00E54C6A" w:rsidP="00E54C6A">
      <w:pPr>
        <w:spacing w:after="0" w:line="240" w:lineRule="auto"/>
        <w:rPr>
          <w:rFonts w:ascii="Arial" w:eastAsia="Times New Roman" w:hAnsi="Arial" w:cs="Arial"/>
          <w:caps/>
          <w:color w:val="979797"/>
          <w:spacing w:val="6"/>
          <w:sz w:val="24"/>
          <w:szCs w:val="24"/>
          <w:lang w:eastAsia="fr-FR"/>
        </w:rPr>
      </w:pPr>
      <w:r w:rsidRPr="00E54C6A">
        <w:rPr>
          <w:rFonts w:ascii="Arial" w:eastAsia="Times New Roman" w:hAnsi="Arial" w:cs="Arial"/>
          <w:caps/>
          <w:color w:val="979797"/>
          <w:spacing w:val="6"/>
          <w:sz w:val="24"/>
          <w:szCs w:val="24"/>
          <w:bdr w:val="none" w:sz="0" w:space="0" w:color="auto" w:frame="1"/>
          <w:lang w:eastAsia="fr-FR"/>
        </w:rPr>
        <w:t>PAR </w:t>
      </w:r>
      <w:r w:rsidRPr="00E54C6A">
        <w:rPr>
          <w:rFonts w:ascii="Arial" w:eastAsia="Times New Roman" w:hAnsi="Arial" w:cs="Arial"/>
          <w:caps/>
          <w:color w:val="646464"/>
          <w:spacing w:val="6"/>
          <w:sz w:val="24"/>
          <w:szCs w:val="24"/>
          <w:bdr w:val="none" w:sz="0" w:space="0" w:color="auto" w:frame="1"/>
          <w:lang w:eastAsia="fr-FR"/>
        </w:rPr>
        <w:t>BASTIEN SCORDIA</w:t>
      </w:r>
    </w:p>
    <w:p w:rsidR="00CD05B9" w:rsidRDefault="00E54C6A" w:rsidP="00CD05B9">
      <w:pPr>
        <w:spacing w:after="0" w:line="225" w:lineRule="atLeast"/>
        <w:rPr>
          <w:rFonts w:ascii="Arial" w:eastAsia="Times New Roman" w:hAnsi="Arial" w:cs="Arial"/>
          <w:sz w:val="24"/>
          <w:szCs w:val="24"/>
          <w:lang w:eastAsia="fr-FR"/>
        </w:rPr>
      </w:pPr>
      <w:r w:rsidRPr="00E54C6A">
        <w:rPr>
          <w:rFonts w:ascii="Arial" w:eastAsia="Times New Roman" w:hAnsi="Arial" w:cs="Arial"/>
          <w:sz w:val="24"/>
          <w:szCs w:val="24"/>
          <w:bdr w:val="none" w:sz="0" w:space="0" w:color="auto" w:frame="1"/>
          <w:lang w:eastAsia="fr-FR"/>
        </w:rPr>
        <w:t>22 septembre 2022, 14:08, mis à jour le 22 septembre 2022, 17:51</w:t>
      </w:r>
    </w:p>
    <w:p w:rsidR="00E54C6A" w:rsidRPr="00E54C6A" w:rsidRDefault="00E54C6A" w:rsidP="00CD05B9">
      <w:pPr>
        <w:spacing w:after="0" w:line="225" w:lineRule="atLeast"/>
        <w:rPr>
          <w:rFonts w:ascii="Arial" w:eastAsia="Times New Roman" w:hAnsi="Arial" w:cs="Arial"/>
          <w:sz w:val="24"/>
          <w:szCs w:val="24"/>
          <w:lang w:eastAsia="fr-FR"/>
        </w:rPr>
      </w:pPr>
      <w:r w:rsidRPr="00E54C6A">
        <w:rPr>
          <w:rFonts w:ascii="Arial" w:eastAsia="Times New Roman" w:hAnsi="Arial" w:cs="Arial"/>
          <w:b/>
          <w:bCs/>
          <w:color w:val="222222"/>
          <w:kern w:val="36"/>
          <w:sz w:val="48"/>
          <w:szCs w:val="48"/>
          <w:lang w:eastAsia="fr-FR"/>
        </w:rPr>
        <w:t>La réforme des services déconcentrés (de nouveau) au rapport</w:t>
      </w:r>
    </w:p>
    <w:p w:rsidR="00E54C6A" w:rsidRPr="00E54C6A" w:rsidRDefault="00E54C6A" w:rsidP="00E54C6A">
      <w:pPr>
        <w:numPr>
          <w:ilvl w:val="0"/>
          <w:numId w:val="1"/>
        </w:numPr>
        <w:spacing w:after="0" w:line="240" w:lineRule="auto"/>
        <w:ind w:left="-225" w:right="-75"/>
        <w:rPr>
          <w:rFonts w:ascii="Times New Roman" w:eastAsia="Times New Roman" w:hAnsi="Times New Roman" w:cs="Times New Roman"/>
          <w:color w:val="000000"/>
          <w:sz w:val="15"/>
          <w:szCs w:val="15"/>
          <w:lang w:eastAsia="fr-FR"/>
        </w:rPr>
      </w:pPr>
      <w:proofErr w:type="gramStart"/>
      <w:r w:rsidRPr="00E54C6A">
        <w:rPr>
          <w:rFonts w:ascii="Arial" w:eastAsia="Times New Roman" w:hAnsi="Arial" w:cs="Arial"/>
          <w:color w:val="979797"/>
          <w:sz w:val="15"/>
          <w:szCs w:val="15"/>
          <w:bdr w:val="none" w:sz="0" w:space="0" w:color="auto" w:frame="1"/>
          <w:lang w:eastAsia="fr-FR"/>
        </w:rPr>
        <w:t>organisation</w:t>
      </w:r>
      <w:proofErr w:type="gramEnd"/>
      <w:r w:rsidRPr="00E54C6A">
        <w:rPr>
          <w:rFonts w:ascii="Arial" w:eastAsia="Times New Roman" w:hAnsi="Arial" w:cs="Arial"/>
          <w:color w:val="979797"/>
          <w:sz w:val="15"/>
          <w:szCs w:val="15"/>
          <w:bdr w:val="none" w:sz="0" w:space="0" w:color="auto" w:frame="1"/>
          <w:lang w:eastAsia="fr-FR"/>
        </w:rPr>
        <w:t xml:space="preserve"> territoriale</w:t>
      </w:r>
    </w:p>
    <w:p w:rsidR="00E54C6A" w:rsidRPr="00E54C6A" w:rsidRDefault="00E54C6A" w:rsidP="00E54C6A">
      <w:pPr>
        <w:spacing w:after="0" w:line="450" w:lineRule="atLeast"/>
        <w:jc w:val="center"/>
        <w:rPr>
          <w:rFonts w:ascii="Arial" w:eastAsia="Times New Roman" w:hAnsi="Arial" w:cs="Arial"/>
          <w:color w:val="212121"/>
          <w:sz w:val="15"/>
          <w:szCs w:val="15"/>
          <w:lang w:eastAsia="fr-FR"/>
        </w:rPr>
      </w:pPr>
      <w:r w:rsidRPr="00E54C6A">
        <w:rPr>
          <w:rFonts w:ascii="Arial" w:eastAsia="Times New Roman" w:hAnsi="Arial" w:cs="Arial"/>
          <w:color w:val="212121"/>
          <w:sz w:val="15"/>
          <w:szCs w:val="15"/>
          <w:lang w:eastAsia="fr-FR"/>
        </w:rPr>
        <w:t xml:space="preserve">Le ministère de l’Intérieur vient de charger la mission </w:t>
      </w:r>
      <w:proofErr w:type="spellStart"/>
      <w:r w:rsidRPr="00E54C6A">
        <w:rPr>
          <w:rFonts w:ascii="Arial" w:eastAsia="Times New Roman" w:hAnsi="Arial" w:cs="Arial"/>
          <w:color w:val="212121"/>
          <w:sz w:val="15"/>
          <w:szCs w:val="15"/>
          <w:lang w:eastAsia="fr-FR"/>
        </w:rPr>
        <w:t>interinspections</w:t>
      </w:r>
      <w:proofErr w:type="spellEnd"/>
      <w:r w:rsidRPr="00E54C6A">
        <w:rPr>
          <w:rFonts w:ascii="Arial" w:eastAsia="Times New Roman" w:hAnsi="Arial" w:cs="Arial"/>
          <w:color w:val="212121"/>
          <w:sz w:val="15"/>
          <w:szCs w:val="15"/>
          <w:lang w:eastAsia="fr-FR"/>
        </w:rPr>
        <w:t xml:space="preserve"> des directions départementales interministérielles (DDI) d’évaluer l’organisation et le fonctionnement des secrétariats généraux communs (SGC) aux préfectures et aux DDI. Une évaluation de plus pour une réforme qui pâtit de nombreuses difficultés depuis sa mise en place, début 2021.  </w:t>
      </w:r>
    </w:p>
    <w:p w:rsidR="00E54C6A" w:rsidRPr="00E54C6A" w:rsidRDefault="00E54C6A" w:rsidP="00E54C6A">
      <w:pPr>
        <w:spacing w:after="0" w:line="240" w:lineRule="auto"/>
        <w:rPr>
          <w:rFonts w:ascii="Times New Roman" w:eastAsia="Times New Roman" w:hAnsi="Times New Roman" w:cs="Times New Roman"/>
          <w:color w:val="000000"/>
          <w:sz w:val="15"/>
          <w:szCs w:val="15"/>
          <w:lang w:eastAsia="fr-FR"/>
        </w:rPr>
      </w:pPr>
      <w:r w:rsidRPr="00E54C6A">
        <w:rPr>
          <w:rFonts w:ascii="Times New Roman" w:eastAsia="Times New Roman" w:hAnsi="Times New Roman" w:cs="Times New Roman"/>
          <w:noProof/>
          <w:color w:val="000000"/>
          <w:sz w:val="15"/>
          <w:szCs w:val="15"/>
          <w:lang w:eastAsia="fr-FR"/>
        </w:rPr>
        <w:drawing>
          <wp:inline distT="0" distB="0" distL="0" distR="0">
            <wp:extent cx="8763000" cy="4953000"/>
            <wp:effectExtent l="0" t="0" r="0" b="0"/>
            <wp:docPr id="1" name="Image 1" descr="https://acteurspublics.fr/media/cache/default_news_big/upload/media/default/0001/41/998609b0cf49090f0126a3c5f6492ee4dd732b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cteurspublics.fr/media/cache/default_news_big/upload/media/default/0001/41/998609b0cf49090f0126a3c5f6492ee4dd732b13.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63000" cy="4953000"/>
                    </a:xfrm>
                    <a:prstGeom prst="rect">
                      <a:avLst/>
                    </a:prstGeom>
                    <a:noFill/>
                    <a:ln>
                      <a:noFill/>
                    </a:ln>
                  </pic:spPr>
                </pic:pic>
              </a:graphicData>
            </a:graphic>
          </wp:inline>
        </w:drawing>
      </w:r>
    </w:p>
    <w:p w:rsidR="00E54C6A" w:rsidRPr="00E54C6A" w:rsidRDefault="00E54C6A" w:rsidP="00E54C6A">
      <w:pPr>
        <w:spacing w:after="0" w:line="225" w:lineRule="atLeast"/>
        <w:rPr>
          <w:rFonts w:ascii="Arial" w:eastAsia="Times New Roman" w:hAnsi="Arial" w:cs="Arial"/>
          <w:i/>
          <w:iCs/>
          <w:color w:val="646464"/>
          <w:sz w:val="15"/>
          <w:szCs w:val="15"/>
          <w:lang w:eastAsia="fr-FR"/>
        </w:rPr>
      </w:pPr>
      <w:r w:rsidRPr="00E54C6A">
        <w:rPr>
          <w:rFonts w:ascii="Arial" w:eastAsia="Times New Roman" w:hAnsi="Arial" w:cs="Arial"/>
          <w:i/>
          <w:iCs/>
          <w:color w:val="646464"/>
          <w:sz w:val="15"/>
          <w:szCs w:val="15"/>
          <w:lang w:eastAsia="fr-FR"/>
        </w:rPr>
        <w:t>Façade de la préfecture de la Creuse à Guéret</w:t>
      </w:r>
    </w:p>
    <w:p w:rsidR="00E54C6A" w:rsidRPr="00E54C6A" w:rsidRDefault="00E54C6A" w:rsidP="00E54C6A">
      <w:pPr>
        <w:spacing w:after="0" w:line="450" w:lineRule="atLeast"/>
        <w:rPr>
          <w:rFonts w:ascii="Arial" w:eastAsia="Times New Roman" w:hAnsi="Arial" w:cs="Arial"/>
          <w:color w:val="646464"/>
          <w:sz w:val="15"/>
          <w:szCs w:val="15"/>
          <w:lang w:eastAsia="fr-FR"/>
        </w:rPr>
      </w:pPr>
      <w:r w:rsidRPr="00E54C6A">
        <w:rPr>
          <w:rFonts w:ascii="Arial" w:eastAsia="Times New Roman" w:hAnsi="Arial" w:cs="Arial"/>
          <w:color w:val="646464"/>
          <w:sz w:val="15"/>
          <w:szCs w:val="15"/>
          <w:lang w:eastAsia="fr-FR"/>
        </w:rPr>
        <w:t xml:space="preserve">PHILIPPE </w:t>
      </w:r>
      <w:proofErr w:type="spellStart"/>
      <w:r w:rsidRPr="00E54C6A">
        <w:rPr>
          <w:rFonts w:ascii="Arial" w:eastAsia="Times New Roman" w:hAnsi="Arial" w:cs="Arial"/>
          <w:color w:val="646464"/>
          <w:sz w:val="15"/>
          <w:szCs w:val="15"/>
          <w:lang w:eastAsia="fr-FR"/>
        </w:rPr>
        <w:t>ROYPhilippe</w:t>
      </w:r>
      <w:proofErr w:type="spellEnd"/>
      <w:r w:rsidRPr="00E54C6A">
        <w:rPr>
          <w:rFonts w:ascii="Arial" w:eastAsia="Times New Roman" w:hAnsi="Arial" w:cs="Arial"/>
          <w:color w:val="646464"/>
          <w:sz w:val="15"/>
          <w:szCs w:val="15"/>
          <w:lang w:eastAsia="fr-FR"/>
        </w:rPr>
        <w:t xml:space="preserve"> </w:t>
      </w:r>
      <w:proofErr w:type="spellStart"/>
      <w:r w:rsidRPr="00E54C6A">
        <w:rPr>
          <w:rFonts w:ascii="Arial" w:eastAsia="Times New Roman" w:hAnsi="Arial" w:cs="Arial"/>
          <w:color w:val="646464"/>
          <w:sz w:val="15"/>
          <w:szCs w:val="15"/>
          <w:lang w:eastAsia="fr-FR"/>
        </w:rPr>
        <w:t>RoyAurimages</w:t>
      </w:r>
      <w:proofErr w:type="spellEnd"/>
      <w:r w:rsidRPr="00E54C6A">
        <w:rPr>
          <w:rFonts w:ascii="Arial" w:eastAsia="Times New Roman" w:hAnsi="Arial" w:cs="Arial"/>
          <w:color w:val="646464"/>
          <w:sz w:val="15"/>
          <w:szCs w:val="15"/>
          <w:lang w:eastAsia="fr-FR"/>
        </w:rPr>
        <w:t xml:space="preserve"> via AFP</w:t>
      </w:r>
    </w:p>
    <w:p w:rsidR="00CD05B9" w:rsidRDefault="00CD05B9" w:rsidP="00E54C6A">
      <w:pPr>
        <w:spacing w:after="0" w:line="450" w:lineRule="atLeast"/>
        <w:rPr>
          <w:rFonts w:ascii="Arial" w:eastAsia="Times New Roman" w:hAnsi="Arial" w:cs="Arial"/>
          <w:color w:val="212121"/>
          <w:lang w:eastAsia="fr-FR"/>
        </w:rPr>
      </w:pPr>
    </w:p>
    <w:p w:rsidR="00E54C6A" w:rsidRPr="00E54C6A" w:rsidRDefault="00E54C6A" w:rsidP="00E54C6A">
      <w:pPr>
        <w:spacing w:after="0" w:line="450" w:lineRule="atLeast"/>
        <w:rPr>
          <w:rFonts w:ascii="Arial" w:eastAsia="Times New Roman" w:hAnsi="Arial" w:cs="Arial"/>
          <w:color w:val="212121"/>
          <w:lang w:eastAsia="fr-FR"/>
        </w:rPr>
      </w:pPr>
      <w:r w:rsidRPr="00E54C6A">
        <w:rPr>
          <w:rFonts w:ascii="Arial" w:eastAsia="Times New Roman" w:hAnsi="Arial" w:cs="Arial"/>
          <w:color w:val="212121"/>
          <w:lang w:eastAsia="fr-FR"/>
        </w:rPr>
        <w:lastRenderedPageBreak/>
        <w:t xml:space="preserve">Un nouveau rapport en vue sur un important volet de la réforme des services déconcentrés. Après un rapport critique du Sénat, publié durant l’été, le directeur de cabinet du ministre de l’Intérieur, Gérald </w:t>
      </w:r>
      <w:proofErr w:type="spellStart"/>
      <w:r w:rsidRPr="00E54C6A">
        <w:rPr>
          <w:rFonts w:ascii="Arial" w:eastAsia="Times New Roman" w:hAnsi="Arial" w:cs="Arial"/>
          <w:color w:val="212121"/>
          <w:lang w:eastAsia="fr-FR"/>
        </w:rPr>
        <w:t>Darmanin</w:t>
      </w:r>
      <w:proofErr w:type="spellEnd"/>
      <w:r w:rsidRPr="00E54C6A">
        <w:rPr>
          <w:rFonts w:ascii="Arial" w:eastAsia="Times New Roman" w:hAnsi="Arial" w:cs="Arial"/>
          <w:color w:val="212121"/>
          <w:lang w:eastAsia="fr-FR"/>
        </w:rPr>
        <w:t xml:space="preserve">, missionne aujourd’hui la mission </w:t>
      </w:r>
      <w:proofErr w:type="spellStart"/>
      <w:r w:rsidRPr="00E54C6A">
        <w:rPr>
          <w:rFonts w:ascii="Arial" w:eastAsia="Times New Roman" w:hAnsi="Arial" w:cs="Arial"/>
          <w:color w:val="212121"/>
          <w:lang w:eastAsia="fr-FR"/>
        </w:rPr>
        <w:t>interinspections</w:t>
      </w:r>
      <w:proofErr w:type="spellEnd"/>
      <w:r w:rsidRPr="00E54C6A">
        <w:rPr>
          <w:rFonts w:ascii="Arial" w:eastAsia="Times New Roman" w:hAnsi="Arial" w:cs="Arial"/>
          <w:color w:val="212121"/>
          <w:lang w:eastAsia="fr-FR"/>
        </w:rPr>
        <w:t xml:space="preserve"> des directions départementales interministérielles (DDI), animée par l’inspection générale de l’Administration (IGA), pour évaluer l’organisation et le fonctionnement des secrétariats généraux communs (SGC) aux préfectures et aux DDI mis en place le 1</w:t>
      </w:r>
      <w:r w:rsidRPr="00E54C6A">
        <w:rPr>
          <w:rFonts w:ascii="Arial" w:eastAsia="Times New Roman" w:hAnsi="Arial" w:cs="Arial"/>
          <w:color w:val="212121"/>
          <w:bdr w:val="none" w:sz="0" w:space="0" w:color="auto" w:frame="1"/>
          <w:vertAlign w:val="superscript"/>
          <w:lang w:eastAsia="fr-FR"/>
        </w:rPr>
        <w:t>er</w:t>
      </w:r>
      <w:r w:rsidRPr="00E54C6A">
        <w:rPr>
          <w:rFonts w:ascii="Arial" w:eastAsia="Times New Roman" w:hAnsi="Arial" w:cs="Arial"/>
          <w:color w:val="212121"/>
          <w:lang w:eastAsia="fr-FR"/>
        </w:rPr>
        <w:t> janvier 2021 et dont la création est vivement critiquée par les organisations syndicales.</w:t>
      </w:r>
    </w:p>
    <w:p w:rsidR="00E54C6A" w:rsidRPr="00E54C6A" w:rsidRDefault="00E54C6A" w:rsidP="00E54C6A">
      <w:pPr>
        <w:spacing w:after="0" w:line="450" w:lineRule="atLeast"/>
        <w:rPr>
          <w:rFonts w:ascii="Arial" w:eastAsia="Times New Roman" w:hAnsi="Arial" w:cs="Arial"/>
          <w:color w:val="212121"/>
          <w:lang w:eastAsia="fr-FR"/>
        </w:rPr>
      </w:pPr>
      <w:r w:rsidRPr="00CD05B9">
        <w:rPr>
          <w:rFonts w:ascii="Arial" w:eastAsia="Times New Roman" w:hAnsi="Arial" w:cs="Arial"/>
          <w:i/>
          <w:iCs/>
          <w:color w:val="212121"/>
          <w:bdr w:val="none" w:sz="0" w:space="0" w:color="auto" w:frame="1"/>
          <w:lang w:eastAsia="fr-FR"/>
        </w:rPr>
        <w:t>“Depuis leur création, les SGC ont été confrontés à des difficultés d’exercice de certaines de leurs missions, notamment en matière budgétaire, d’immobilier, de ressources humaines et des systèmes d’information”, </w:t>
      </w:r>
      <w:r w:rsidRPr="00E54C6A">
        <w:rPr>
          <w:rFonts w:ascii="Arial" w:eastAsia="Times New Roman" w:hAnsi="Arial" w:cs="Arial"/>
          <w:color w:val="212121"/>
          <w:lang w:eastAsia="fr-FR"/>
        </w:rPr>
        <w:t xml:space="preserve">confirme le directeur de cabinet de Gérald </w:t>
      </w:r>
      <w:proofErr w:type="spellStart"/>
      <w:r w:rsidRPr="00E54C6A">
        <w:rPr>
          <w:rFonts w:ascii="Arial" w:eastAsia="Times New Roman" w:hAnsi="Arial" w:cs="Arial"/>
          <w:color w:val="212121"/>
          <w:lang w:eastAsia="fr-FR"/>
        </w:rPr>
        <w:t>Darmanin</w:t>
      </w:r>
      <w:proofErr w:type="spellEnd"/>
      <w:r w:rsidRPr="00E54C6A">
        <w:rPr>
          <w:rFonts w:ascii="Arial" w:eastAsia="Times New Roman" w:hAnsi="Arial" w:cs="Arial"/>
          <w:color w:val="212121"/>
          <w:lang w:eastAsia="fr-FR"/>
        </w:rPr>
        <w:t>, Pierre de Bousquet de Florian, dans sa lettre de mission.</w:t>
      </w:r>
    </w:p>
    <w:p w:rsidR="00E54C6A" w:rsidRPr="00E54C6A" w:rsidRDefault="00E54C6A" w:rsidP="00E54C6A">
      <w:pPr>
        <w:spacing w:after="0" w:line="450" w:lineRule="atLeast"/>
        <w:rPr>
          <w:rFonts w:ascii="Arial" w:eastAsia="Times New Roman" w:hAnsi="Arial" w:cs="Arial"/>
          <w:color w:val="212121"/>
          <w:lang w:eastAsia="fr-FR"/>
        </w:rPr>
      </w:pPr>
      <w:r w:rsidRPr="00E54C6A">
        <w:rPr>
          <w:rFonts w:ascii="Arial" w:eastAsia="Times New Roman" w:hAnsi="Arial" w:cs="Arial"/>
          <w:color w:val="212121"/>
          <w:lang w:eastAsia="fr-FR"/>
        </w:rPr>
        <w:t>Cette mission, dont les conclusions sont attendues pour la fin du premier trimestre 2023, intervient un an tout juste après le lancement par la Place Beauvau d’un “plan d’action et de soutien” visant à remédier aux différents </w:t>
      </w:r>
      <w:r w:rsidRPr="00CD05B9">
        <w:rPr>
          <w:rFonts w:ascii="Arial" w:eastAsia="Times New Roman" w:hAnsi="Arial" w:cs="Arial"/>
          <w:i/>
          <w:iCs/>
          <w:color w:val="212121"/>
          <w:bdr w:val="none" w:sz="0" w:space="0" w:color="auto" w:frame="1"/>
          <w:lang w:eastAsia="fr-FR"/>
        </w:rPr>
        <w:t>“irritants” </w:t>
      </w:r>
      <w:r w:rsidRPr="00E54C6A">
        <w:rPr>
          <w:rFonts w:ascii="Arial" w:eastAsia="Times New Roman" w:hAnsi="Arial" w:cs="Arial"/>
          <w:color w:val="212121"/>
          <w:lang w:eastAsia="fr-FR"/>
        </w:rPr>
        <w:t>identifiés depuis la mise en place des SGC. Parmi ceux-ci, les difficultés de la gestion </w:t>
      </w:r>
      <w:r w:rsidRPr="00CD05B9">
        <w:rPr>
          <w:rFonts w:ascii="Arial" w:eastAsia="Times New Roman" w:hAnsi="Arial" w:cs="Arial"/>
          <w:i/>
          <w:iCs/>
          <w:color w:val="212121"/>
          <w:bdr w:val="none" w:sz="0" w:space="0" w:color="auto" w:frame="1"/>
          <w:lang w:eastAsia="fr-FR"/>
        </w:rPr>
        <w:t>“</w:t>
      </w:r>
      <w:proofErr w:type="spellStart"/>
      <w:r w:rsidRPr="00CD05B9">
        <w:rPr>
          <w:rFonts w:ascii="Arial" w:eastAsia="Times New Roman" w:hAnsi="Arial" w:cs="Arial"/>
          <w:i/>
          <w:iCs/>
          <w:color w:val="212121"/>
          <w:bdr w:val="none" w:sz="0" w:space="0" w:color="auto" w:frame="1"/>
          <w:lang w:eastAsia="fr-FR"/>
        </w:rPr>
        <w:t>multisites</w:t>
      </w:r>
      <w:proofErr w:type="spellEnd"/>
      <w:r w:rsidRPr="00CD05B9">
        <w:rPr>
          <w:rFonts w:ascii="Arial" w:eastAsia="Times New Roman" w:hAnsi="Arial" w:cs="Arial"/>
          <w:i/>
          <w:iCs/>
          <w:color w:val="212121"/>
          <w:bdr w:val="none" w:sz="0" w:space="0" w:color="auto" w:frame="1"/>
          <w:lang w:eastAsia="fr-FR"/>
        </w:rPr>
        <w:t>”, </w:t>
      </w:r>
      <w:r w:rsidRPr="00E54C6A">
        <w:rPr>
          <w:rFonts w:ascii="Arial" w:eastAsia="Times New Roman" w:hAnsi="Arial" w:cs="Arial"/>
          <w:color w:val="212121"/>
          <w:lang w:eastAsia="fr-FR"/>
        </w:rPr>
        <w:t>le manque d’homogénéisation des systèmes informatiques et des outils de gestion ou encore les difficultés des préfectures à considérer les SGC comme un service déconcentré à vocation interministérielle.  </w:t>
      </w:r>
    </w:p>
    <w:p w:rsidR="00E54C6A" w:rsidRPr="00E54C6A" w:rsidRDefault="00E54C6A" w:rsidP="00E54C6A">
      <w:pPr>
        <w:spacing w:after="0" w:line="480" w:lineRule="atLeast"/>
        <w:outlineLvl w:val="3"/>
        <w:rPr>
          <w:rFonts w:ascii="Arial" w:eastAsia="Times New Roman" w:hAnsi="Arial" w:cs="Arial"/>
          <w:b/>
          <w:bCs/>
          <w:color w:val="222222"/>
          <w:lang w:eastAsia="fr-FR"/>
        </w:rPr>
      </w:pPr>
      <w:r w:rsidRPr="00CD05B9">
        <w:rPr>
          <w:rFonts w:ascii="Arial" w:eastAsia="Times New Roman" w:hAnsi="Arial" w:cs="Arial"/>
          <w:b/>
          <w:bCs/>
          <w:i/>
          <w:iCs/>
          <w:color w:val="222222"/>
          <w:bdr w:val="none" w:sz="0" w:space="0" w:color="auto" w:frame="1"/>
          <w:lang w:eastAsia="fr-FR"/>
        </w:rPr>
        <w:t>“Facteurs de succès et d’échec”</w:t>
      </w:r>
      <w:r w:rsidRPr="00E54C6A">
        <w:rPr>
          <w:rFonts w:ascii="Arial" w:eastAsia="Times New Roman" w:hAnsi="Arial" w:cs="Arial"/>
          <w:b/>
          <w:bCs/>
          <w:color w:val="222222"/>
          <w:lang w:eastAsia="fr-FR"/>
        </w:rPr>
        <w:t> </w:t>
      </w:r>
    </w:p>
    <w:p w:rsidR="00E54C6A" w:rsidRPr="00E54C6A" w:rsidRDefault="00E54C6A" w:rsidP="00E54C6A">
      <w:pPr>
        <w:spacing w:after="0" w:line="450" w:lineRule="atLeast"/>
        <w:rPr>
          <w:rFonts w:ascii="Arial" w:eastAsia="Times New Roman" w:hAnsi="Arial" w:cs="Arial"/>
          <w:color w:val="212121"/>
          <w:lang w:eastAsia="fr-FR"/>
        </w:rPr>
      </w:pPr>
      <w:r w:rsidRPr="00E54C6A">
        <w:rPr>
          <w:rFonts w:ascii="Arial" w:eastAsia="Times New Roman" w:hAnsi="Arial" w:cs="Arial"/>
          <w:color w:val="212121"/>
          <w:lang w:eastAsia="fr-FR"/>
        </w:rPr>
        <w:t xml:space="preserve">La mission </w:t>
      </w:r>
      <w:proofErr w:type="spellStart"/>
      <w:r w:rsidRPr="00E54C6A">
        <w:rPr>
          <w:rFonts w:ascii="Arial" w:eastAsia="Times New Roman" w:hAnsi="Arial" w:cs="Arial"/>
          <w:color w:val="212121"/>
          <w:lang w:eastAsia="fr-FR"/>
        </w:rPr>
        <w:t>interinspections</w:t>
      </w:r>
      <w:proofErr w:type="spellEnd"/>
      <w:r w:rsidRPr="00E54C6A">
        <w:rPr>
          <w:rFonts w:ascii="Arial" w:eastAsia="Times New Roman" w:hAnsi="Arial" w:cs="Arial"/>
          <w:color w:val="212121"/>
          <w:lang w:eastAsia="fr-FR"/>
        </w:rPr>
        <w:t xml:space="preserve"> devra atteindre 6 objectifs. Tout d’abord, établir un état des lieux de l’organisation et du fonctionnement de ces secrétariats, </w:t>
      </w:r>
      <w:r w:rsidRPr="00CD05B9">
        <w:rPr>
          <w:rFonts w:ascii="Arial" w:eastAsia="Times New Roman" w:hAnsi="Arial" w:cs="Arial"/>
          <w:i/>
          <w:iCs/>
          <w:color w:val="212121"/>
          <w:bdr w:val="none" w:sz="0" w:space="0" w:color="auto" w:frame="1"/>
          <w:lang w:eastAsia="fr-FR"/>
        </w:rPr>
        <w:t>“notamment en matière de ressources humaines et d’implantation immobilière et de leur adéquation aux exigences de qualité de service attendue en matière budgétaire, d’achat public, d’immobilier, de systèmes d’information et de communication, de logistique, de ressources humaines, de relation avec la médecine de prévention et de mise en œuvre des politiques d’action sociale”.  </w:t>
      </w:r>
    </w:p>
    <w:p w:rsidR="00E54C6A" w:rsidRPr="00E54C6A" w:rsidRDefault="00E54C6A" w:rsidP="00E54C6A">
      <w:pPr>
        <w:spacing w:after="0" w:line="450" w:lineRule="atLeast"/>
        <w:rPr>
          <w:rFonts w:ascii="Arial" w:eastAsia="Times New Roman" w:hAnsi="Arial" w:cs="Arial"/>
          <w:b/>
          <w:bCs/>
          <w:color w:val="DE1F35"/>
          <w:sz w:val="30"/>
          <w:szCs w:val="30"/>
          <w:lang w:eastAsia="fr-FR"/>
        </w:rPr>
      </w:pPr>
      <w:r w:rsidRPr="00E54C6A">
        <w:rPr>
          <w:rFonts w:ascii="Arial" w:eastAsia="Times New Roman" w:hAnsi="Arial" w:cs="Arial"/>
          <w:b/>
          <w:bCs/>
          <w:color w:val="DE1F35"/>
          <w:sz w:val="30"/>
          <w:szCs w:val="30"/>
          <w:lang w:eastAsia="fr-FR"/>
        </w:rPr>
        <w:t>À lire aussi :</w:t>
      </w:r>
    </w:p>
    <w:p w:rsidR="00E54C6A" w:rsidRPr="00E54C6A" w:rsidRDefault="00E92B3D" w:rsidP="00E54C6A">
      <w:pPr>
        <w:spacing w:after="0" w:line="450" w:lineRule="atLeast"/>
        <w:rPr>
          <w:rFonts w:ascii="Arial" w:eastAsia="Times New Roman" w:hAnsi="Arial" w:cs="Arial"/>
          <w:b/>
          <w:bCs/>
          <w:color w:val="212121"/>
          <w:sz w:val="30"/>
          <w:szCs w:val="30"/>
          <w:lang w:eastAsia="fr-FR"/>
        </w:rPr>
      </w:pPr>
      <w:hyperlink r:id="rId6" w:tooltip="Le Sénat critique la réforme des services déconcentrés" w:history="1">
        <w:r w:rsidR="00E54C6A" w:rsidRPr="00E54C6A">
          <w:rPr>
            <w:rFonts w:ascii="Arial" w:eastAsia="Times New Roman" w:hAnsi="Arial" w:cs="Arial"/>
            <w:b/>
            <w:bCs/>
            <w:color w:val="212121"/>
            <w:sz w:val="30"/>
            <w:szCs w:val="30"/>
            <w:u w:val="single"/>
            <w:bdr w:val="none" w:sz="0" w:space="0" w:color="auto" w:frame="1"/>
            <w:lang w:eastAsia="fr-FR"/>
          </w:rPr>
          <w:t>Le Sénat critique la réforme des services déconcentrés</w:t>
        </w:r>
      </w:hyperlink>
    </w:p>
    <w:p w:rsidR="00E54C6A" w:rsidRPr="00E54C6A" w:rsidRDefault="00E54C6A" w:rsidP="00E54C6A">
      <w:pPr>
        <w:spacing w:after="0" w:line="450" w:lineRule="atLeast"/>
        <w:rPr>
          <w:rFonts w:ascii="Arial" w:eastAsia="Times New Roman" w:hAnsi="Arial" w:cs="Arial"/>
          <w:color w:val="212121"/>
          <w:sz w:val="24"/>
          <w:szCs w:val="24"/>
          <w:lang w:eastAsia="fr-FR"/>
        </w:rPr>
      </w:pPr>
      <w:r w:rsidRPr="00E54C6A">
        <w:rPr>
          <w:rFonts w:ascii="Arial" w:eastAsia="Times New Roman" w:hAnsi="Arial" w:cs="Arial"/>
          <w:color w:val="212121"/>
          <w:sz w:val="24"/>
          <w:szCs w:val="24"/>
          <w:lang w:eastAsia="fr-FR"/>
        </w:rPr>
        <w:t>Deuxième objectif : analyser les </w:t>
      </w:r>
      <w:r w:rsidRPr="00CD05B9">
        <w:rPr>
          <w:rFonts w:ascii="Arial" w:eastAsia="Times New Roman" w:hAnsi="Arial" w:cs="Arial"/>
          <w:i/>
          <w:iCs/>
          <w:color w:val="212121"/>
          <w:sz w:val="24"/>
          <w:szCs w:val="24"/>
          <w:bdr w:val="none" w:sz="0" w:space="0" w:color="auto" w:frame="1"/>
          <w:lang w:eastAsia="fr-FR"/>
        </w:rPr>
        <w:t>“facteurs de succès et d’échec” </w:t>
      </w:r>
      <w:r w:rsidRPr="00E54C6A">
        <w:rPr>
          <w:rFonts w:ascii="Arial" w:eastAsia="Times New Roman" w:hAnsi="Arial" w:cs="Arial"/>
          <w:color w:val="212121"/>
          <w:sz w:val="24"/>
          <w:szCs w:val="24"/>
          <w:lang w:eastAsia="fr-FR"/>
        </w:rPr>
        <w:t>ainsi que les freins dans le fonctionnement, les conditions d’exercice des missions ou la qualité de service rendu par les SGC. À ce titre, la mission devra identifier les </w:t>
      </w:r>
      <w:r w:rsidRPr="00CD05B9">
        <w:rPr>
          <w:rFonts w:ascii="Arial" w:eastAsia="Times New Roman" w:hAnsi="Arial" w:cs="Arial"/>
          <w:i/>
          <w:iCs/>
          <w:color w:val="212121"/>
          <w:sz w:val="24"/>
          <w:szCs w:val="24"/>
          <w:bdr w:val="none" w:sz="0" w:space="0" w:color="auto" w:frame="1"/>
          <w:lang w:eastAsia="fr-FR"/>
        </w:rPr>
        <w:t>“raisons des écarts constatés”.</w:t>
      </w:r>
      <w:r w:rsidRPr="00E54C6A">
        <w:rPr>
          <w:rFonts w:ascii="Arial" w:eastAsia="Times New Roman" w:hAnsi="Arial" w:cs="Arial"/>
          <w:color w:val="212121"/>
          <w:sz w:val="24"/>
          <w:szCs w:val="24"/>
          <w:lang w:eastAsia="fr-FR"/>
        </w:rPr>
        <w:t>  </w:t>
      </w:r>
    </w:p>
    <w:p w:rsidR="00E54C6A" w:rsidRPr="00E54C6A" w:rsidRDefault="00E54C6A" w:rsidP="00E54C6A">
      <w:pPr>
        <w:spacing w:after="0" w:line="450" w:lineRule="atLeast"/>
        <w:rPr>
          <w:rFonts w:ascii="Arial" w:eastAsia="Times New Roman" w:hAnsi="Arial" w:cs="Arial"/>
          <w:color w:val="212121"/>
          <w:sz w:val="24"/>
          <w:szCs w:val="24"/>
          <w:lang w:eastAsia="fr-FR"/>
        </w:rPr>
      </w:pPr>
      <w:r w:rsidRPr="00E54C6A">
        <w:rPr>
          <w:rFonts w:ascii="Arial" w:eastAsia="Times New Roman" w:hAnsi="Arial" w:cs="Arial"/>
          <w:color w:val="212121"/>
          <w:sz w:val="24"/>
          <w:szCs w:val="24"/>
          <w:lang w:eastAsia="fr-FR"/>
        </w:rPr>
        <w:t>Troisième objectif : l’évaluation des modalités de pilotage des secrétariats généraux communs. Et ce, qu’il s’agisse de leur gouvernance collégiale autour du préfet du département, de l’animation nationale du réseau, de l’accompagnement spécifique des ministères ou de la </w:t>
      </w:r>
      <w:r w:rsidRPr="00CD05B9">
        <w:rPr>
          <w:rFonts w:ascii="Arial" w:eastAsia="Times New Roman" w:hAnsi="Arial" w:cs="Arial"/>
          <w:i/>
          <w:iCs/>
          <w:color w:val="212121"/>
          <w:sz w:val="24"/>
          <w:szCs w:val="24"/>
          <w:bdr w:val="none" w:sz="0" w:space="0" w:color="auto" w:frame="1"/>
          <w:lang w:eastAsia="fr-FR"/>
        </w:rPr>
        <w:t>“capacité” </w:t>
      </w:r>
      <w:r w:rsidRPr="00E54C6A">
        <w:rPr>
          <w:rFonts w:ascii="Arial" w:eastAsia="Times New Roman" w:hAnsi="Arial" w:cs="Arial"/>
          <w:color w:val="212121"/>
          <w:sz w:val="24"/>
          <w:szCs w:val="24"/>
          <w:lang w:eastAsia="fr-FR"/>
        </w:rPr>
        <w:t>des directeurs des DDI à </w:t>
      </w:r>
      <w:r w:rsidRPr="00CD05B9">
        <w:rPr>
          <w:rFonts w:ascii="Arial" w:eastAsia="Times New Roman" w:hAnsi="Arial" w:cs="Arial"/>
          <w:i/>
          <w:iCs/>
          <w:color w:val="212121"/>
          <w:sz w:val="24"/>
          <w:szCs w:val="24"/>
          <w:bdr w:val="none" w:sz="0" w:space="0" w:color="auto" w:frame="1"/>
          <w:lang w:eastAsia="fr-FR"/>
        </w:rPr>
        <w:t>“exercer leur autorité fonctionnelle sur les SGC afin de piloter leur service et exercer leurs missions de mise en œuvre des politiques publiques”</w:t>
      </w:r>
      <w:r w:rsidRPr="00E54C6A">
        <w:rPr>
          <w:rFonts w:ascii="Arial" w:eastAsia="Times New Roman" w:hAnsi="Arial" w:cs="Arial"/>
          <w:color w:val="212121"/>
          <w:sz w:val="24"/>
          <w:szCs w:val="24"/>
          <w:lang w:eastAsia="fr-FR"/>
        </w:rPr>
        <w:t>.</w:t>
      </w:r>
    </w:p>
    <w:p w:rsidR="00E54C6A" w:rsidRPr="00E54C6A" w:rsidRDefault="00E54C6A" w:rsidP="00E54C6A">
      <w:pPr>
        <w:spacing w:after="0" w:line="480" w:lineRule="atLeast"/>
        <w:outlineLvl w:val="3"/>
        <w:rPr>
          <w:rFonts w:ascii="Arial" w:eastAsia="Times New Roman" w:hAnsi="Arial" w:cs="Arial"/>
          <w:b/>
          <w:bCs/>
          <w:color w:val="222222"/>
          <w:sz w:val="24"/>
          <w:szCs w:val="24"/>
          <w:lang w:eastAsia="fr-FR"/>
        </w:rPr>
      </w:pPr>
      <w:r w:rsidRPr="00E54C6A">
        <w:rPr>
          <w:rFonts w:ascii="Arial" w:eastAsia="Times New Roman" w:hAnsi="Arial" w:cs="Arial"/>
          <w:b/>
          <w:bCs/>
          <w:color w:val="222222"/>
          <w:sz w:val="24"/>
          <w:szCs w:val="24"/>
          <w:lang w:eastAsia="fr-FR"/>
        </w:rPr>
        <w:t>Vers une évolution des missions des SGC ?</w:t>
      </w:r>
      <w:r w:rsidRPr="00E54C6A">
        <w:rPr>
          <w:rFonts w:ascii="Arial" w:eastAsia="Times New Roman" w:hAnsi="Arial" w:cs="Arial"/>
          <w:b/>
          <w:bCs/>
          <w:color w:val="222222"/>
          <w:sz w:val="24"/>
          <w:szCs w:val="24"/>
          <w:bdr w:val="none" w:sz="0" w:space="0" w:color="auto" w:frame="1"/>
          <w:lang w:eastAsia="fr-FR"/>
        </w:rPr>
        <w:t>  </w:t>
      </w:r>
    </w:p>
    <w:p w:rsidR="00E54C6A" w:rsidRPr="00E54C6A" w:rsidRDefault="00E54C6A" w:rsidP="00E54C6A">
      <w:pPr>
        <w:spacing w:after="0" w:line="450" w:lineRule="atLeast"/>
        <w:rPr>
          <w:rFonts w:ascii="Arial" w:eastAsia="Times New Roman" w:hAnsi="Arial" w:cs="Arial"/>
          <w:color w:val="212121"/>
          <w:sz w:val="24"/>
          <w:szCs w:val="24"/>
          <w:lang w:eastAsia="fr-FR"/>
        </w:rPr>
      </w:pPr>
      <w:r w:rsidRPr="00E54C6A">
        <w:rPr>
          <w:rFonts w:ascii="Arial" w:eastAsia="Times New Roman" w:hAnsi="Arial" w:cs="Arial"/>
          <w:color w:val="212121"/>
          <w:sz w:val="24"/>
          <w:szCs w:val="24"/>
          <w:lang w:eastAsia="fr-FR"/>
        </w:rPr>
        <w:t>Autre tâche assignée à la mission d’inspection, l’analyse de l’adéquation des missions des SGC aux besoins actuels et futurs de l’administration territoriale de l’État (ATE). </w:t>
      </w:r>
      <w:r w:rsidRPr="00CD05B9">
        <w:rPr>
          <w:rFonts w:ascii="Arial" w:eastAsia="Times New Roman" w:hAnsi="Arial" w:cs="Arial"/>
          <w:i/>
          <w:iCs/>
          <w:color w:val="212121"/>
          <w:sz w:val="24"/>
          <w:szCs w:val="24"/>
          <w:bdr w:val="none" w:sz="0" w:space="0" w:color="auto" w:frame="1"/>
          <w:lang w:eastAsia="fr-FR"/>
        </w:rPr>
        <w:t>“À cet égard, la mission s’attachera à anticiper les évolutions des fonctions support de l’ATE pour proposer, le cas échéant, une évolution des missions des SGC”, </w:t>
      </w:r>
      <w:r w:rsidRPr="00E54C6A">
        <w:rPr>
          <w:rFonts w:ascii="Arial" w:eastAsia="Times New Roman" w:hAnsi="Arial" w:cs="Arial"/>
          <w:color w:val="212121"/>
          <w:sz w:val="24"/>
          <w:szCs w:val="24"/>
          <w:lang w:eastAsia="fr-FR"/>
        </w:rPr>
        <w:t xml:space="preserve">précise le directeur de cabinet de Gérald </w:t>
      </w:r>
      <w:proofErr w:type="spellStart"/>
      <w:r w:rsidRPr="00E54C6A">
        <w:rPr>
          <w:rFonts w:ascii="Arial" w:eastAsia="Times New Roman" w:hAnsi="Arial" w:cs="Arial"/>
          <w:color w:val="212121"/>
          <w:sz w:val="24"/>
          <w:szCs w:val="24"/>
          <w:lang w:eastAsia="fr-FR"/>
        </w:rPr>
        <w:t>Darmanin</w:t>
      </w:r>
      <w:proofErr w:type="spellEnd"/>
      <w:r w:rsidRPr="00E54C6A">
        <w:rPr>
          <w:rFonts w:ascii="Arial" w:eastAsia="Times New Roman" w:hAnsi="Arial" w:cs="Arial"/>
          <w:color w:val="212121"/>
          <w:sz w:val="24"/>
          <w:szCs w:val="24"/>
          <w:lang w:eastAsia="fr-FR"/>
        </w:rPr>
        <w:t xml:space="preserve"> dans sa lettre.  </w:t>
      </w:r>
    </w:p>
    <w:p w:rsidR="00E54C6A" w:rsidRPr="00E54C6A" w:rsidRDefault="00E54C6A" w:rsidP="00E54C6A">
      <w:pPr>
        <w:spacing w:after="0" w:line="450" w:lineRule="atLeast"/>
        <w:rPr>
          <w:rFonts w:ascii="Arial" w:eastAsia="Times New Roman" w:hAnsi="Arial" w:cs="Arial"/>
          <w:color w:val="212121"/>
          <w:sz w:val="24"/>
          <w:szCs w:val="24"/>
          <w:lang w:eastAsia="fr-FR"/>
        </w:rPr>
      </w:pPr>
      <w:r w:rsidRPr="00E54C6A">
        <w:rPr>
          <w:rFonts w:ascii="Arial" w:eastAsia="Times New Roman" w:hAnsi="Arial" w:cs="Arial"/>
          <w:color w:val="212121"/>
          <w:sz w:val="24"/>
          <w:szCs w:val="24"/>
          <w:lang w:eastAsia="fr-FR"/>
        </w:rPr>
        <w:t>La mission devra également</w:t>
      </w:r>
      <w:r w:rsidRPr="00CD05B9">
        <w:rPr>
          <w:rFonts w:ascii="Arial" w:eastAsia="Times New Roman" w:hAnsi="Arial" w:cs="Arial"/>
          <w:i/>
          <w:iCs/>
          <w:color w:val="212121"/>
          <w:sz w:val="24"/>
          <w:szCs w:val="24"/>
          <w:bdr w:val="none" w:sz="0" w:space="0" w:color="auto" w:frame="1"/>
          <w:lang w:eastAsia="fr-FR"/>
        </w:rPr>
        <w:t> “évaluer le niveau et le calendrier d’atteinte des objectifs de simplification et de modernisation des procédures et de réduction des dépenses et de rationalisation des moyens”</w:t>
      </w:r>
      <w:r w:rsidRPr="00E54C6A">
        <w:rPr>
          <w:rFonts w:ascii="Arial" w:eastAsia="Times New Roman" w:hAnsi="Arial" w:cs="Arial"/>
          <w:color w:val="212121"/>
          <w:sz w:val="24"/>
          <w:szCs w:val="24"/>
          <w:lang w:eastAsia="fr-FR"/>
        </w:rPr>
        <w:t>. La </w:t>
      </w:r>
      <w:r w:rsidRPr="00CD05B9">
        <w:rPr>
          <w:rFonts w:ascii="Arial" w:eastAsia="Times New Roman" w:hAnsi="Arial" w:cs="Arial"/>
          <w:i/>
          <w:iCs/>
          <w:color w:val="212121"/>
          <w:sz w:val="24"/>
          <w:szCs w:val="24"/>
          <w:bdr w:val="none" w:sz="0" w:space="0" w:color="auto" w:frame="1"/>
          <w:lang w:eastAsia="fr-FR"/>
        </w:rPr>
        <w:t>“réalité de la réaffectation des gains” </w:t>
      </w:r>
      <w:r w:rsidRPr="00E54C6A">
        <w:rPr>
          <w:rFonts w:ascii="Arial" w:eastAsia="Times New Roman" w:hAnsi="Arial" w:cs="Arial"/>
          <w:color w:val="212121"/>
          <w:sz w:val="24"/>
          <w:szCs w:val="24"/>
          <w:lang w:eastAsia="fr-FR"/>
        </w:rPr>
        <w:t>en équivalents temps plein (ETP) sur des missions métiers sera notamment dans le spectre de la mission.  </w:t>
      </w:r>
    </w:p>
    <w:p w:rsidR="00E54C6A" w:rsidRPr="00E54C6A" w:rsidRDefault="00E54C6A" w:rsidP="00E54C6A">
      <w:pPr>
        <w:spacing w:after="0" w:line="450" w:lineRule="atLeast"/>
        <w:rPr>
          <w:rFonts w:ascii="Arial" w:eastAsia="Times New Roman" w:hAnsi="Arial" w:cs="Arial"/>
          <w:color w:val="212121"/>
          <w:sz w:val="24"/>
          <w:szCs w:val="24"/>
          <w:lang w:eastAsia="fr-FR"/>
        </w:rPr>
      </w:pPr>
      <w:r w:rsidRPr="00E54C6A">
        <w:rPr>
          <w:rFonts w:ascii="Arial" w:eastAsia="Times New Roman" w:hAnsi="Arial" w:cs="Arial"/>
          <w:color w:val="212121"/>
          <w:sz w:val="24"/>
          <w:szCs w:val="24"/>
          <w:lang w:eastAsia="fr-FR"/>
        </w:rPr>
        <w:t>Sixième et dernier objectif que la mission devra poursuivre : </w:t>
      </w:r>
      <w:r w:rsidRPr="00CD05B9">
        <w:rPr>
          <w:rFonts w:ascii="Arial" w:eastAsia="Times New Roman" w:hAnsi="Arial" w:cs="Arial"/>
          <w:i/>
          <w:iCs/>
          <w:color w:val="212121"/>
          <w:sz w:val="24"/>
          <w:szCs w:val="24"/>
          <w:bdr w:val="none" w:sz="0" w:space="0" w:color="auto" w:frame="1"/>
          <w:lang w:eastAsia="fr-FR"/>
        </w:rPr>
        <w:t>“préciser les articulations entre les SGC, les DDI et les directions régionales pour le soutien aux politiques publiques déclinées par les DDI”. </w:t>
      </w:r>
      <w:r w:rsidRPr="00E54C6A">
        <w:rPr>
          <w:rFonts w:ascii="Arial" w:eastAsia="Times New Roman" w:hAnsi="Arial" w:cs="Arial"/>
          <w:color w:val="212121"/>
          <w:sz w:val="24"/>
          <w:szCs w:val="24"/>
          <w:lang w:eastAsia="fr-FR"/>
        </w:rPr>
        <w:t>En ce sens, la mission aura la charge d’identifier</w:t>
      </w:r>
      <w:r w:rsidRPr="00CD05B9">
        <w:rPr>
          <w:rFonts w:ascii="Arial" w:eastAsia="Times New Roman" w:hAnsi="Arial" w:cs="Arial"/>
          <w:i/>
          <w:iCs/>
          <w:color w:val="212121"/>
          <w:sz w:val="24"/>
          <w:szCs w:val="24"/>
          <w:bdr w:val="none" w:sz="0" w:space="0" w:color="auto" w:frame="1"/>
          <w:lang w:eastAsia="fr-FR"/>
        </w:rPr>
        <w:t> “les pratiques innovantes dans la recherche de partenariats ou de coopérations locales avec d’autres services de l’État, des opérateurs et des collectivités locales”.</w:t>
      </w:r>
    </w:p>
    <w:p w:rsidR="000E469A" w:rsidRPr="00CD05B9" w:rsidRDefault="000E469A">
      <w:pPr>
        <w:rPr>
          <w:sz w:val="24"/>
          <w:szCs w:val="24"/>
        </w:rPr>
      </w:pPr>
    </w:p>
    <w:sectPr w:rsidR="000E469A" w:rsidRPr="00CD05B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A323C2"/>
    <w:multiLevelType w:val="multilevel"/>
    <w:tmpl w:val="28CEB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C6A"/>
    <w:rsid w:val="00007EED"/>
    <w:rsid w:val="000E469A"/>
    <w:rsid w:val="00CD05B9"/>
    <w:rsid w:val="00E54C6A"/>
    <w:rsid w:val="00E92B3D"/>
    <w:rsid w:val="00FA77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884233-425F-4102-8CC6-0734D16D2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E54C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4">
    <w:name w:val="heading 4"/>
    <w:basedOn w:val="Normal"/>
    <w:link w:val="Titre4Car"/>
    <w:uiPriority w:val="9"/>
    <w:qFormat/>
    <w:rsid w:val="00E54C6A"/>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54C6A"/>
    <w:rPr>
      <w:rFonts w:ascii="Times New Roman" w:eastAsia="Times New Roman" w:hAnsi="Times New Roman" w:cs="Times New Roman"/>
      <w:b/>
      <w:bCs/>
      <w:kern w:val="36"/>
      <w:sz w:val="48"/>
      <w:szCs w:val="48"/>
      <w:lang w:eastAsia="fr-FR"/>
    </w:rPr>
  </w:style>
  <w:style w:type="character" w:customStyle="1" w:styleId="Titre4Car">
    <w:name w:val="Titre 4 Car"/>
    <w:basedOn w:val="Policepardfaut"/>
    <w:link w:val="Titre4"/>
    <w:uiPriority w:val="9"/>
    <w:rsid w:val="00E54C6A"/>
    <w:rPr>
      <w:rFonts w:ascii="Times New Roman" w:eastAsia="Times New Roman" w:hAnsi="Times New Roman" w:cs="Times New Roman"/>
      <w:b/>
      <w:bCs/>
      <w:sz w:val="24"/>
      <w:szCs w:val="24"/>
      <w:lang w:eastAsia="fr-FR"/>
    </w:rPr>
  </w:style>
  <w:style w:type="paragraph" w:styleId="NormalWeb">
    <w:name w:val="Normal (Web)"/>
    <w:basedOn w:val="Normal"/>
    <w:uiPriority w:val="99"/>
    <w:semiHidden/>
    <w:unhideWhenUsed/>
    <w:rsid w:val="00E54C6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ews-imagelegend">
    <w:name w:val="news-image__legend"/>
    <w:basedOn w:val="Normal"/>
    <w:rsid w:val="00E54C6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ews-imagecopyright">
    <w:name w:val="news-image__copyright"/>
    <w:basedOn w:val="Normal"/>
    <w:rsid w:val="00E54C6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E54C6A"/>
    <w:rPr>
      <w:i/>
      <w:iCs/>
    </w:rPr>
  </w:style>
  <w:style w:type="character" w:styleId="Lienhypertexte">
    <w:name w:val="Hyperlink"/>
    <w:basedOn w:val="Policepardfaut"/>
    <w:uiPriority w:val="99"/>
    <w:semiHidden/>
    <w:unhideWhenUsed/>
    <w:rsid w:val="00E54C6A"/>
    <w:rPr>
      <w:color w:val="0000FF"/>
      <w:u w:val="single"/>
    </w:rPr>
  </w:style>
  <w:style w:type="character" w:styleId="lev">
    <w:name w:val="Strong"/>
    <w:basedOn w:val="Policepardfaut"/>
    <w:uiPriority w:val="22"/>
    <w:qFormat/>
    <w:rsid w:val="00E54C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8259316">
      <w:bodyDiv w:val="1"/>
      <w:marLeft w:val="0"/>
      <w:marRight w:val="0"/>
      <w:marTop w:val="0"/>
      <w:marBottom w:val="0"/>
      <w:divBdr>
        <w:top w:val="none" w:sz="0" w:space="0" w:color="auto"/>
        <w:left w:val="none" w:sz="0" w:space="0" w:color="auto"/>
        <w:bottom w:val="none" w:sz="0" w:space="0" w:color="auto"/>
        <w:right w:val="none" w:sz="0" w:space="0" w:color="auto"/>
      </w:divBdr>
      <w:divsChild>
        <w:div w:id="1097215882">
          <w:marLeft w:val="0"/>
          <w:marRight w:val="0"/>
          <w:marTop w:val="120"/>
          <w:marBottom w:val="0"/>
          <w:divBdr>
            <w:top w:val="none" w:sz="0" w:space="0" w:color="auto"/>
            <w:left w:val="none" w:sz="0" w:space="0" w:color="auto"/>
            <w:bottom w:val="none" w:sz="0" w:space="0" w:color="auto"/>
            <w:right w:val="none" w:sz="0" w:space="0" w:color="auto"/>
          </w:divBdr>
        </w:div>
        <w:div w:id="1212578085">
          <w:marLeft w:val="0"/>
          <w:marRight w:val="0"/>
          <w:marTop w:val="0"/>
          <w:marBottom w:val="0"/>
          <w:divBdr>
            <w:top w:val="none" w:sz="0" w:space="0" w:color="auto"/>
            <w:left w:val="none" w:sz="0" w:space="0" w:color="auto"/>
            <w:bottom w:val="none" w:sz="0" w:space="0" w:color="auto"/>
            <w:right w:val="none" w:sz="0" w:space="0" w:color="auto"/>
          </w:divBdr>
        </w:div>
      </w:divsChild>
    </w:div>
    <w:div w:id="884678636">
      <w:bodyDiv w:val="1"/>
      <w:marLeft w:val="0"/>
      <w:marRight w:val="0"/>
      <w:marTop w:val="0"/>
      <w:marBottom w:val="0"/>
      <w:divBdr>
        <w:top w:val="none" w:sz="0" w:space="0" w:color="auto"/>
        <w:left w:val="none" w:sz="0" w:space="0" w:color="auto"/>
        <w:bottom w:val="none" w:sz="0" w:space="0" w:color="auto"/>
        <w:right w:val="none" w:sz="0" w:space="0" w:color="auto"/>
      </w:divBdr>
      <w:divsChild>
        <w:div w:id="1525678321">
          <w:marLeft w:val="-225"/>
          <w:marRight w:val="-225"/>
          <w:marTop w:val="0"/>
          <w:marBottom w:val="0"/>
          <w:divBdr>
            <w:top w:val="none" w:sz="0" w:space="0" w:color="auto"/>
            <w:left w:val="none" w:sz="0" w:space="0" w:color="auto"/>
            <w:bottom w:val="none" w:sz="0" w:space="0" w:color="auto"/>
            <w:right w:val="none" w:sz="0" w:space="0" w:color="auto"/>
          </w:divBdr>
          <w:divsChild>
            <w:div w:id="502552899">
              <w:marLeft w:val="0"/>
              <w:marRight w:val="0"/>
              <w:marTop w:val="0"/>
              <w:marBottom w:val="0"/>
              <w:divBdr>
                <w:top w:val="none" w:sz="0" w:space="0" w:color="auto"/>
                <w:left w:val="none" w:sz="0" w:space="0" w:color="auto"/>
                <w:bottom w:val="none" w:sz="0" w:space="0" w:color="auto"/>
                <w:right w:val="none" w:sz="0" w:space="0" w:color="auto"/>
              </w:divBdr>
              <w:divsChild>
                <w:div w:id="1875650310">
                  <w:marLeft w:val="750"/>
                  <w:marRight w:val="0"/>
                  <w:marTop w:val="270"/>
                  <w:marBottom w:val="0"/>
                  <w:divBdr>
                    <w:top w:val="none" w:sz="0" w:space="0" w:color="auto"/>
                    <w:left w:val="none" w:sz="0" w:space="0" w:color="auto"/>
                    <w:bottom w:val="none" w:sz="0" w:space="0" w:color="auto"/>
                    <w:right w:val="none" w:sz="0" w:space="0" w:color="auto"/>
                  </w:divBdr>
                </w:div>
              </w:divsChild>
            </w:div>
            <w:div w:id="1226914082">
              <w:marLeft w:val="0"/>
              <w:marRight w:val="0"/>
              <w:marTop w:val="0"/>
              <w:marBottom w:val="0"/>
              <w:divBdr>
                <w:top w:val="none" w:sz="0" w:space="0" w:color="auto"/>
                <w:left w:val="none" w:sz="0" w:space="0" w:color="auto"/>
                <w:bottom w:val="none" w:sz="0" w:space="0" w:color="auto"/>
                <w:right w:val="none" w:sz="0" w:space="0" w:color="auto"/>
              </w:divBdr>
              <w:divsChild>
                <w:div w:id="158676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580">
          <w:marLeft w:val="-225"/>
          <w:marRight w:val="-225"/>
          <w:marTop w:val="0"/>
          <w:marBottom w:val="0"/>
          <w:divBdr>
            <w:top w:val="none" w:sz="0" w:space="0" w:color="auto"/>
            <w:left w:val="none" w:sz="0" w:space="0" w:color="auto"/>
            <w:bottom w:val="none" w:sz="0" w:space="0" w:color="auto"/>
            <w:right w:val="none" w:sz="0" w:space="0" w:color="auto"/>
          </w:divBdr>
          <w:divsChild>
            <w:div w:id="403190300">
              <w:marLeft w:val="0"/>
              <w:marRight w:val="0"/>
              <w:marTop w:val="0"/>
              <w:marBottom w:val="0"/>
              <w:divBdr>
                <w:top w:val="none" w:sz="0" w:space="0" w:color="auto"/>
                <w:left w:val="none" w:sz="0" w:space="0" w:color="auto"/>
                <w:bottom w:val="none" w:sz="0" w:space="0" w:color="auto"/>
                <w:right w:val="none" w:sz="0" w:space="0" w:color="auto"/>
              </w:divBdr>
              <w:divsChild>
                <w:div w:id="716397578">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 w:id="1875457206">
          <w:marLeft w:val="-225"/>
          <w:marRight w:val="-225"/>
          <w:marTop w:val="0"/>
          <w:marBottom w:val="0"/>
          <w:divBdr>
            <w:top w:val="none" w:sz="0" w:space="0" w:color="auto"/>
            <w:left w:val="none" w:sz="0" w:space="0" w:color="auto"/>
            <w:bottom w:val="none" w:sz="0" w:space="0" w:color="auto"/>
            <w:right w:val="none" w:sz="0" w:space="0" w:color="auto"/>
          </w:divBdr>
          <w:divsChild>
            <w:div w:id="1044719855">
              <w:marLeft w:val="0"/>
              <w:marRight w:val="0"/>
              <w:marTop w:val="0"/>
              <w:marBottom w:val="0"/>
              <w:divBdr>
                <w:top w:val="none" w:sz="0" w:space="0" w:color="auto"/>
                <w:left w:val="none" w:sz="0" w:space="0" w:color="auto"/>
                <w:bottom w:val="none" w:sz="0" w:space="0" w:color="auto"/>
                <w:right w:val="none" w:sz="0" w:space="0" w:color="auto"/>
              </w:divBdr>
              <w:divsChild>
                <w:div w:id="310522127">
                  <w:marLeft w:val="0"/>
                  <w:marRight w:val="0"/>
                  <w:marTop w:val="300"/>
                  <w:marBottom w:val="0"/>
                  <w:divBdr>
                    <w:top w:val="none" w:sz="0" w:space="0" w:color="auto"/>
                    <w:left w:val="none" w:sz="0" w:space="0" w:color="auto"/>
                    <w:bottom w:val="none" w:sz="0" w:space="0" w:color="auto"/>
                    <w:right w:val="none" w:sz="0" w:space="0" w:color="auto"/>
                  </w:divBdr>
                </w:div>
                <w:div w:id="666521570">
                  <w:marLeft w:val="0"/>
                  <w:marRight w:val="0"/>
                  <w:marTop w:val="75"/>
                  <w:marBottom w:val="0"/>
                  <w:divBdr>
                    <w:top w:val="none" w:sz="0" w:space="0" w:color="auto"/>
                    <w:left w:val="none" w:sz="0" w:space="0" w:color="auto"/>
                    <w:bottom w:val="none" w:sz="0" w:space="0" w:color="auto"/>
                    <w:right w:val="none" w:sz="0" w:space="0" w:color="auto"/>
                  </w:divBdr>
                </w:div>
                <w:div w:id="769473992">
                  <w:marLeft w:val="0"/>
                  <w:marRight w:val="0"/>
                  <w:marTop w:val="750"/>
                  <w:marBottom w:val="0"/>
                  <w:divBdr>
                    <w:top w:val="none" w:sz="0" w:space="0" w:color="auto"/>
                    <w:left w:val="none" w:sz="0" w:space="0" w:color="auto"/>
                    <w:bottom w:val="none" w:sz="0" w:space="0" w:color="auto"/>
                    <w:right w:val="none" w:sz="0" w:space="0" w:color="auto"/>
                  </w:divBdr>
                  <w:divsChild>
                    <w:div w:id="175930007">
                      <w:marLeft w:val="0"/>
                      <w:marRight w:val="0"/>
                      <w:marTop w:val="375"/>
                      <w:marBottom w:val="0"/>
                      <w:divBdr>
                        <w:top w:val="single" w:sz="6" w:space="11" w:color="DEDEDE"/>
                        <w:left w:val="none" w:sz="0" w:space="0" w:color="auto"/>
                        <w:bottom w:val="single" w:sz="6" w:space="11" w:color="DEDEDE"/>
                        <w:right w:val="none" w:sz="0" w:space="0" w:color="auto"/>
                      </w:divBdr>
                      <w:divsChild>
                        <w:div w:id="80747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cteurspublics.fr/articles/le-senat-critique-la-reforme-des-services-deconcentres"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753</Words>
  <Characters>4145</Characters>
  <Application>Microsoft Office Word</Application>
  <DocSecurity>0</DocSecurity>
  <Lines>34</Lines>
  <Paragraphs>9</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Aujourd’hui sur Acteurs Publics</vt:lpstr>
    </vt:vector>
  </TitlesOfParts>
  <Company>BPT/DNUM</Company>
  <LinksUpToDate>false</LinksUpToDate>
  <CharactersWithSpaces>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NIHA, Mario (DRH/STNGP)</dc:creator>
  <cp:keywords/>
  <dc:description/>
  <cp:lastModifiedBy>JANNES, Henri (SYNDICATS/CFDT)</cp:lastModifiedBy>
  <cp:revision>2</cp:revision>
  <dcterms:created xsi:type="dcterms:W3CDTF">2022-09-26T18:39:00Z</dcterms:created>
  <dcterms:modified xsi:type="dcterms:W3CDTF">2022-09-26T18:39:00Z</dcterms:modified>
</cp:coreProperties>
</file>