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A83" w:rsidRPr="00FB2381" w:rsidRDefault="001C6BF4" w:rsidP="00D37A83">
      <w:pPr>
        <w:jc w:val="center"/>
        <w:rPr>
          <w:rFonts w:asciiTheme="minorHAnsi" w:hAnsiTheme="minorHAnsi" w:cstheme="minorHAnsi"/>
          <w:color w:val="1F4E79" w:themeColor="accent1" w:themeShade="80"/>
        </w:rPr>
      </w:pPr>
      <w:r>
        <w:rPr>
          <w:noProof/>
          <w:lang w:eastAsia="fr-FR"/>
        </w:rPr>
        <w:drawing>
          <wp:inline distT="0" distB="0" distL="0" distR="0">
            <wp:extent cx="1073150" cy="1375410"/>
            <wp:effectExtent l="0" t="0" r="0" b="0"/>
            <wp:docPr id="1" name="Image 1" descr="Logo-SYNTEF-CF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YNTEF-CFD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BF4" w:rsidRDefault="001C6BF4" w:rsidP="00D37A83">
      <w:pPr>
        <w:jc w:val="center"/>
        <w:rPr>
          <w:rFonts w:asciiTheme="minorHAnsi" w:hAnsiTheme="minorHAnsi" w:cstheme="minorHAnsi"/>
          <w:color w:val="1F4E79" w:themeColor="accent1" w:themeShade="80"/>
        </w:rPr>
      </w:pPr>
    </w:p>
    <w:p w:rsidR="001C6BF4" w:rsidRDefault="001C6BF4" w:rsidP="00D37A83">
      <w:pPr>
        <w:jc w:val="center"/>
        <w:rPr>
          <w:rFonts w:asciiTheme="minorHAnsi" w:hAnsiTheme="minorHAnsi" w:cstheme="minorHAnsi"/>
          <w:color w:val="1F4E79" w:themeColor="accent1" w:themeShade="80"/>
        </w:rPr>
      </w:pPr>
    </w:p>
    <w:p w:rsidR="00D37A83" w:rsidRPr="00FB2381" w:rsidRDefault="00D37A83" w:rsidP="00D37A83">
      <w:pPr>
        <w:jc w:val="center"/>
        <w:rPr>
          <w:rFonts w:asciiTheme="minorHAnsi" w:hAnsiTheme="minorHAnsi" w:cstheme="minorHAnsi"/>
          <w:color w:val="1F4E79" w:themeColor="accent1" w:themeShade="80"/>
        </w:rPr>
      </w:pPr>
      <w:r w:rsidRPr="00FB2381">
        <w:rPr>
          <w:rFonts w:asciiTheme="minorHAnsi" w:hAnsiTheme="minorHAnsi" w:cstheme="minorHAnsi"/>
          <w:color w:val="1F4E79" w:themeColor="accent1" w:themeShade="80"/>
        </w:rPr>
        <w:t>CHSCT Ministère du Travail, du Plein Emploi et de l’Inserti</w:t>
      </w:r>
      <w:r w:rsidR="001C6BF4">
        <w:rPr>
          <w:rFonts w:asciiTheme="minorHAnsi" w:hAnsiTheme="minorHAnsi" w:cstheme="minorHAnsi"/>
          <w:color w:val="1F4E79" w:themeColor="accent1" w:themeShade="80"/>
        </w:rPr>
        <w:t xml:space="preserve">on des 22 et 23 septembre 2022 </w:t>
      </w:r>
    </w:p>
    <w:p w:rsidR="00D37A83" w:rsidRPr="00FB2381" w:rsidRDefault="00D37A83" w:rsidP="00D37A83">
      <w:pPr>
        <w:jc w:val="center"/>
        <w:rPr>
          <w:rFonts w:asciiTheme="minorHAnsi" w:hAnsiTheme="minorHAnsi" w:cstheme="minorHAnsi"/>
          <w:color w:val="1F4E79" w:themeColor="accent1" w:themeShade="80"/>
        </w:rPr>
      </w:pPr>
    </w:p>
    <w:p w:rsidR="00510631" w:rsidRDefault="008C33EA" w:rsidP="00D37A83">
      <w:pPr>
        <w:jc w:val="center"/>
        <w:rPr>
          <w:rFonts w:asciiTheme="minorHAnsi" w:hAnsiTheme="minorHAnsi" w:cstheme="minorHAnsi"/>
          <w:color w:val="1F4E79" w:themeColor="accent1" w:themeShade="80"/>
        </w:rPr>
      </w:pPr>
      <w:r>
        <w:rPr>
          <w:rFonts w:asciiTheme="minorHAnsi" w:hAnsiTheme="minorHAnsi" w:cstheme="minorHAnsi"/>
          <w:color w:val="1F4E79" w:themeColor="accent1" w:themeShade="80"/>
        </w:rPr>
        <w:t xml:space="preserve">Déclaration SYNTEF-CFDT lue en séance le 22 septembre - </w:t>
      </w:r>
    </w:p>
    <w:p w:rsidR="00D37A83" w:rsidRPr="00FB2381" w:rsidRDefault="00D37A83" w:rsidP="00D37A83">
      <w:pPr>
        <w:jc w:val="center"/>
        <w:rPr>
          <w:rFonts w:asciiTheme="minorHAnsi" w:hAnsiTheme="minorHAnsi" w:cstheme="minorHAnsi"/>
          <w:color w:val="1F4E79" w:themeColor="accent1" w:themeShade="80"/>
        </w:rPr>
      </w:pPr>
      <w:r w:rsidRPr="00FB2381">
        <w:rPr>
          <w:rFonts w:asciiTheme="minorHAnsi" w:hAnsiTheme="minorHAnsi" w:cstheme="minorHAnsi"/>
          <w:color w:val="1F4E79" w:themeColor="accent1" w:themeShade="80"/>
        </w:rPr>
        <w:t>Demande de désignation d’un expert agréé – article 55 d</w:t>
      </w:r>
      <w:r w:rsidRPr="00FB2381">
        <w:rPr>
          <w:rFonts w:asciiTheme="minorHAnsi" w:eastAsia="Times New Roman" w:hAnsiTheme="minorHAnsi" w:cstheme="minorHAnsi"/>
          <w:bCs/>
          <w:color w:val="1F4E79" w:themeColor="accent1" w:themeShade="80"/>
          <w:kern w:val="36"/>
          <w:lang w:eastAsia="fr-FR"/>
        </w:rPr>
        <w:t>écret n°82-453 du 28 mai 1982 relatif à l'hygiène et à la sécurité du travail ainsi qu'à la prévention médicale dans la fonction publique</w:t>
      </w:r>
    </w:p>
    <w:p w:rsidR="00D37A83" w:rsidRPr="00FB2381" w:rsidRDefault="001C6BF4" w:rsidP="00D37A83">
      <w:pPr>
        <w:jc w:val="center"/>
        <w:rPr>
          <w:rFonts w:asciiTheme="minorHAnsi" w:hAnsiTheme="minorHAnsi" w:cstheme="minorHAnsi"/>
          <w:color w:val="1F4E79" w:themeColor="accent1" w:themeShade="80"/>
        </w:rPr>
      </w:pPr>
      <w:r>
        <w:rPr>
          <w:rFonts w:asciiTheme="minorHAnsi" w:hAnsiTheme="minorHAnsi" w:cstheme="minorHAnsi"/>
          <w:color w:val="1F4E79" w:themeColor="accent1" w:themeShade="80"/>
        </w:rPr>
        <w:t>***</w:t>
      </w:r>
    </w:p>
    <w:p w:rsidR="00D37A83" w:rsidRPr="00FB2381" w:rsidRDefault="00D37A83" w:rsidP="00937316">
      <w:pPr>
        <w:rPr>
          <w:color w:val="1F4E79" w:themeColor="accent1" w:themeShade="80"/>
        </w:rPr>
      </w:pPr>
    </w:p>
    <w:p w:rsidR="001C6BF4" w:rsidRDefault="001C6BF4" w:rsidP="00510631">
      <w:pPr>
        <w:jc w:val="both"/>
        <w:rPr>
          <w:b/>
          <w:color w:val="1F4E79" w:themeColor="accent1" w:themeShade="80"/>
        </w:rPr>
      </w:pPr>
    </w:p>
    <w:p w:rsidR="008C33EA" w:rsidRDefault="00937316" w:rsidP="00510631">
      <w:pPr>
        <w:jc w:val="both"/>
        <w:rPr>
          <w:color w:val="1F4E79" w:themeColor="accent1" w:themeShade="80"/>
        </w:rPr>
      </w:pPr>
      <w:r w:rsidRPr="00E806E6">
        <w:rPr>
          <w:b/>
          <w:color w:val="1F4E79" w:themeColor="accent1" w:themeShade="80"/>
        </w:rPr>
        <w:t>Nous constatons depuis plusieurs mois que le fonctionnement du CHSCT patine</w:t>
      </w:r>
      <w:r w:rsidR="008C33EA">
        <w:rPr>
          <w:color w:val="1F4E79" w:themeColor="accent1" w:themeShade="80"/>
        </w:rPr>
        <w:t>.</w:t>
      </w:r>
    </w:p>
    <w:p w:rsidR="00937316" w:rsidRPr="00FB2381" w:rsidRDefault="008C33EA" w:rsidP="00510631">
      <w:pPr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M</w:t>
      </w:r>
      <w:r w:rsidR="00937316" w:rsidRPr="00FB2381">
        <w:rPr>
          <w:color w:val="1F4E79" w:themeColor="accent1" w:themeShade="80"/>
        </w:rPr>
        <w:t>algré l’inflation des mesures d’orientations stratégiques</w:t>
      </w:r>
      <w:r w:rsidR="005D4599" w:rsidRPr="00FB2381">
        <w:rPr>
          <w:color w:val="1F4E79" w:themeColor="accent1" w:themeShade="80"/>
        </w:rPr>
        <w:t xml:space="preserve"> que vous nous présentez</w:t>
      </w:r>
      <w:r w:rsidR="00937316" w:rsidRPr="00FB2381">
        <w:rPr>
          <w:color w:val="1F4E79" w:themeColor="accent1" w:themeShade="80"/>
        </w:rPr>
        <w:t>, l’analyse des risques professionnels des agents de notre ministère n’avance pas, comme embourbée.</w:t>
      </w:r>
    </w:p>
    <w:p w:rsidR="00937316" w:rsidRPr="00FB2381" w:rsidRDefault="00937316" w:rsidP="00510631">
      <w:pPr>
        <w:jc w:val="both"/>
        <w:rPr>
          <w:color w:val="1F4E79" w:themeColor="accent1" w:themeShade="80"/>
        </w:rPr>
      </w:pPr>
    </w:p>
    <w:p w:rsidR="00937316" w:rsidRPr="00FB2381" w:rsidRDefault="00981B1A" w:rsidP="00510631">
      <w:pPr>
        <w:jc w:val="both"/>
        <w:rPr>
          <w:color w:val="1F4E79" w:themeColor="accent1" w:themeShade="80"/>
        </w:rPr>
      </w:pPr>
      <w:r w:rsidRPr="00FB2381">
        <w:rPr>
          <w:color w:val="1F4E79" w:themeColor="accent1" w:themeShade="80"/>
        </w:rPr>
        <w:t xml:space="preserve">Vous nous présentez un point d’étape des multiples </w:t>
      </w:r>
      <w:r w:rsidR="00937316" w:rsidRPr="00FB2381">
        <w:rPr>
          <w:color w:val="1F4E79" w:themeColor="accent1" w:themeShade="80"/>
        </w:rPr>
        <w:t>orienta</w:t>
      </w:r>
      <w:r w:rsidRPr="00FB2381">
        <w:rPr>
          <w:color w:val="1F4E79" w:themeColor="accent1" w:themeShade="80"/>
        </w:rPr>
        <w:t>tions ministérielles 2021-2022. Vous oubliez dans le titre de ce document –est-ce</w:t>
      </w:r>
      <w:r w:rsidR="00937316" w:rsidRPr="00FB2381">
        <w:rPr>
          <w:color w:val="1F4E79" w:themeColor="accent1" w:themeShade="80"/>
        </w:rPr>
        <w:t xml:space="preserve"> révélateur</w:t>
      </w:r>
      <w:r w:rsidRPr="00FB2381">
        <w:rPr>
          <w:color w:val="1F4E79" w:themeColor="accent1" w:themeShade="80"/>
        </w:rPr>
        <w:t xml:space="preserve"> ? -</w:t>
      </w:r>
      <w:r w:rsidR="00937316" w:rsidRPr="00FB2381">
        <w:rPr>
          <w:color w:val="1F4E79" w:themeColor="accent1" w:themeShade="80"/>
        </w:rPr>
        <w:t xml:space="preserve"> de mentionner qu’il s’agit d’orientations portant sur… les conditions de travail.</w:t>
      </w:r>
    </w:p>
    <w:p w:rsidR="00937316" w:rsidRPr="00FB2381" w:rsidRDefault="00937316" w:rsidP="00510631">
      <w:pPr>
        <w:jc w:val="both"/>
        <w:rPr>
          <w:color w:val="1F4E79" w:themeColor="accent1" w:themeShade="80"/>
        </w:rPr>
      </w:pPr>
    </w:p>
    <w:p w:rsidR="00E806E6" w:rsidRPr="008C33EA" w:rsidRDefault="00981B1A" w:rsidP="00510631">
      <w:pPr>
        <w:jc w:val="both"/>
        <w:rPr>
          <w:color w:val="1F4E79" w:themeColor="accent1" w:themeShade="80"/>
          <w:u w:val="single"/>
        </w:rPr>
      </w:pPr>
      <w:r w:rsidRPr="008C33EA">
        <w:rPr>
          <w:b/>
          <w:color w:val="1F4E79" w:themeColor="accent1" w:themeShade="80"/>
          <w:u w:val="single"/>
        </w:rPr>
        <w:t>La multiplication de ces</w:t>
      </w:r>
      <w:r w:rsidR="00937316" w:rsidRPr="008C33EA">
        <w:rPr>
          <w:b/>
          <w:color w:val="1F4E79" w:themeColor="accent1" w:themeShade="80"/>
          <w:u w:val="single"/>
        </w:rPr>
        <w:t xml:space="preserve"> orientations cache mal qu’il manque des</w:t>
      </w:r>
      <w:r w:rsidR="00510631" w:rsidRPr="008C33EA">
        <w:rPr>
          <w:b/>
          <w:color w:val="1F4E79" w:themeColor="accent1" w:themeShade="80"/>
          <w:u w:val="single"/>
        </w:rPr>
        <w:t xml:space="preserve"> points structurants essentiels.</w:t>
      </w:r>
      <w:r w:rsidR="00510631" w:rsidRPr="008C33EA">
        <w:rPr>
          <w:color w:val="1F4E79" w:themeColor="accent1" w:themeShade="80"/>
          <w:u w:val="single"/>
        </w:rPr>
        <w:t xml:space="preserve"> </w:t>
      </w:r>
    </w:p>
    <w:p w:rsidR="00E806E6" w:rsidRDefault="00E806E6" w:rsidP="00510631">
      <w:pPr>
        <w:jc w:val="both"/>
        <w:rPr>
          <w:color w:val="1F4E79" w:themeColor="accent1" w:themeShade="80"/>
        </w:rPr>
      </w:pPr>
    </w:p>
    <w:p w:rsidR="00981B1A" w:rsidRPr="00FB2381" w:rsidRDefault="00510631" w:rsidP="00510631">
      <w:pPr>
        <w:jc w:val="both"/>
        <w:rPr>
          <w:color w:val="1F4E79" w:themeColor="accent1" w:themeShade="80"/>
        </w:rPr>
      </w:pPr>
      <w:r w:rsidRPr="00E806E6">
        <w:rPr>
          <w:b/>
          <w:color w:val="1F4E79" w:themeColor="accent1" w:themeShade="80"/>
        </w:rPr>
        <w:t xml:space="preserve">Nous attendons </w:t>
      </w:r>
      <w:r w:rsidR="00937316" w:rsidRPr="00E806E6">
        <w:rPr>
          <w:b/>
          <w:color w:val="1F4E79" w:themeColor="accent1" w:themeShade="80"/>
        </w:rPr>
        <w:t xml:space="preserve">toujours la note relative au fonctionnement des services </w:t>
      </w:r>
      <w:r w:rsidR="005D4599" w:rsidRPr="00E806E6">
        <w:rPr>
          <w:b/>
          <w:color w:val="1F4E79" w:themeColor="accent1" w:themeShade="80"/>
        </w:rPr>
        <w:t>déconcentrés dans le domaine de la santé et sécurité au travail (SST)</w:t>
      </w:r>
      <w:r w:rsidR="00937316" w:rsidRPr="00E806E6">
        <w:rPr>
          <w:b/>
          <w:color w:val="1F4E79" w:themeColor="accent1" w:themeShade="80"/>
        </w:rPr>
        <w:t>, pourtant esse</w:t>
      </w:r>
      <w:r w:rsidR="005D4599" w:rsidRPr="00E806E6">
        <w:rPr>
          <w:b/>
          <w:color w:val="1F4E79" w:themeColor="accent1" w:themeShade="80"/>
        </w:rPr>
        <w:t>ntiel après la réforme de l’OT</w:t>
      </w:r>
      <w:r w:rsidR="005D4599" w:rsidRPr="00FB2381">
        <w:rPr>
          <w:color w:val="1F4E79" w:themeColor="accent1" w:themeShade="80"/>
        </w:rPr>
        <w:t xml:space="preserve">E, </w:t>
      </w:r>
      <w:r w:rsidR="00937316" w:rsidRPr="00FB2381">
        <w:rPr>
          <w:color w:val="1F4E79" w:themeColor="accent1" w:themeShade="80"/>
        </w:rPr>
        <w:t>ou encore l’exploitation quantitative et qualitative en lien avec la DNUM des données SST qui reste à ce jour</w:t>
      </w:r>
      <w:r w:rsidR="005D4599" w:rsidRPr="00FB2381">
        <w:rPr>
          <w:color w:val="1F4E79" w:themeColor="accent1" w:themeShade="80"/>
        </w:rPr>
        <w:t xml:space="preserve"> à l’état de promesse mirifique. </w:t>
      </w:r>
      <w:r w:rsidR="007F55F9" w:rsidRPr="00FB2381">
        <w:rPr>
          <w:color w:val="1F4E79" w:themeColor="accent1" w:themeShade="80"/>
        </w:rPr>
        <w:t>Nous attendons toujours une clarification sur la question de la compétence de l’inspecteur du travail en cas de désaccord sérieux et persistant. Nous notons</w:t>
      </w:r>
      <w:r w:rsidR="00937316" w:rsidRPr="00FB2381">
        <w:rPr>
          <w:color w:val="1F4E79" w:themeColor="accent1" w:themeShade="80"/>
        </w:rPr>
        <w:t>, à grand regret, la promesse non tenue de faire participer un représentant du CHSCT</w:t>
      </w:r>
      <w:r w:rsidR="00615171" w:rsidRPr="00FB2381">
        <w:rPr>
          <w:color w:val="1F4E79" w:themeColor="accent1" w:themeShade="80"/>
        </w:rPr>
        <w:t>-M</w:t>
      </w:r>
      <w:r w:rsidR="00937316" w:rsidRPr="00FB2381">
        <w:rPr>
          <w:color w:val="1F4E79" w:themeColor="accent1" w:themeShade="80"/>
        </w:rPr>
        <w:t xml:space="preserve"> à la cellule de veille ministérielle, laquelle est censée faire partie d’un système dit d’excellence de prévention des RPS validé par le SG des ministères sociaux. </w:t>
      </w:r>
    </w:p>
    <w:p w:rsidR="00937316" w:rsidRPr="00E806E6" w:rsidRDefault="00937316" w:rsidP="00510631">
      <w:pPr>
        <w:jc w:val="both"/>
        <w:rPr>
          <w:b/>
          <w:color w:val="1F4E79" w:themeColor="accent1" w:themeShade="80"/>
        </w:rPr>
      </w:pPr>
      <w:r w:rsidRPr="00FB2381">
        <w:rPr>
          <w:color w:val="1F4E79" w:themeColor="accent1" w:themeShade="80"/>
        </w:rPr>
        <w:t xml:space="preserve">Formule contre formule, votre système dit d’excellence nous parait </w:t>
      </w:r>
      <w:r w:rsidR="00615171" w:rsidRPr="00FB2381">
        <w:rPr>
          <w:color w:val="1F4E79" w:themeColor="accent1" w:themeShade="80"/>
        </w:rPr>
        <w:t xml:space="preserve">dériver vers </w:t>
      </w:r>
      <w:r w:rsidRPr="00FB2381">
        <w:rPr>
          <w:color w:val="1F4E79" w:themeColor="accent1" w:themeShade="80"/>
        </w:rPr>
        <w:t xml:space="preserve">une </w:t>
      </w:r>
      <w:r w:rsidR="00615171" w:rsidRPr="00FB2381">
        <w:rPr>
          <w:color w:val="1F4E79" w:themeColor="accent1" w:themeShade="80"/>
        </w:rPr>
        <w:t>forme</w:t>
      </w:r>
      <w:r w:rsidRPr="00FB2381">
        <w:rPr>
          <w:color w:val="1F4E79" w:themeColor="accent1" w:themeShade="80"/>
        </w:rPr>
        <w:t xml:space="preserve"> de prévention</w:t>
      </w:r>
      <w:r w:rsidR="00615171" w:rsidRPr="00FB2381">
        <w:rPr>
          <w:color w:val="1F4E79" w:themeColor="accent1" w:themeShade="80"/>
        </w:rPr>
        <w:t xml:space="preserve"> a minima</w:t>
      </w:r>
      <w:r w:rsidR="00981B1A" w:rsidRPr="00FB2381">
        <w:rPr>
          <w:color w:val="1F4E79" w:themeColor="accent1" w:themeShade="80"/>
        </w:rPr>
        <w:t xml:space="preserve">, </w:t>
      </w:r>
      <w:r w:rsidR="00981B1A" w:rsidRPr="00E806E6">
        <w:rPr>
          <w:b/>
          <w:color w:val="1F4E79" w:themeColor="accent1" w:themeShade="80"/>
        </w:rPr>
        <w:t>une prévention a posteriori, qui ne traite pas les causes.</w:t>
      </w:r>
    </w:p>
    <w:p w:rsidR="00937316" w:rsidRPr="00E806E6" w:rsidRDefault="00937316" w:rsidP="00510631">
      <w:pPr>
        <w:jc w:val="both"/>
        <w:rPr>
          <w:b/>
          <w:color w:val="1F4E79" w:themeColor="accent1" w:themeShade="80"/>
          <w:sz w:val="20"/>
          <w:szCs w:val="20"/>
        </w:rPr>
      </w:pPr>
    </w:p>
    <w:p w:rsidR="008E15B0" w:rsidRPr="00FB2381" w:rsidRDefault="00981B1A" w:rsidP="00510631">
      <w:pPr>
        <w:jc w:val="both"/>
        <w:rPr>
          <w:color w:val="1F4E79" w:themeColor="accent1" w:themeShade="80"/>
        </w:rPr>
      </w:pPr>
      <w:r w:rsidRPr="00E806E6">
        <w:rPr>
          <w:b/>
          <w:color w:val="1F4E79" w:themeColor="accent1" w:themeShade="80"/>
        </w:rPr>
        <w:t>Car</w:t>
      </w:r>
      <w:r w:rsidR="00C47C77" w:rsidRPr="00E806E6">
        <w:rPr>
          <w:b/>
          <w:color w:val="1F4E79" w:themeColor="accent1" w:themeShade="80"/>
        </w:rPr>
        <w:t>,</w:t>
      </w:r>
      <w:r w:rsidR="00937316" w:rsidRPr="00E806E6">
        <w:rPr>
          <w:b/>
          <w:color w:val="1F4E79" w:themeColor="accent1" w:themeShade="80"/>
        </w:rPr>
        <w:t xml:space="preserve"> sur les </w:t>
      </w:r>
      <w:r w:rsidR="00C47C77" w:rsidRPr="00E806E6">
        <w:rPr>
          <w:b/>
          <w:color w:val="1F4E79" w:themeColor="accent1" w:themeShade="80"/>
        </w:rPr>
        <w:t>dysfonctionnements et les problèmes</w:t>
      </w:r>
      <w:r w:rsidR="00937316" w:rsidRPr="00E806E6">
        <w:rPr>
          <w:b/>
          <w:color w:val="1F4E79" w:themeColor="accent1" w:themeShade="80"/>
        </w:rPr>
        <w:t xml:space="preserve"> les plus graves, vos orientations ne disent rien, ou si peu, alors même que </w:t>
      </w:r>
      <w:r w:rsidR="00C47C77" w:rsidRPr="00E806E6">
        <w:rPr>
          <w:b/>
          <w:color w:val="1F4E79" w:themeColor="accent1" w:themeShade="80"/>
        </w:rPr>
        <w:t xml:space="preserve">l’exaspération voire même la souffrance des agents se pérennisent et s’accroissent, alors que même que </w:t>
      </w:r>
      <w:r w:rsidR="00937316" w:rsidRPr="00E806E6">
        <w:rPr>
          <w:b/>
          <w:color w:val="1F4E79" w:themeColor="accent1" w:themeShade="80"/>
        </w:rPr>
        <w:t>les rapports se multiplient</w:t>
      </w:r>
      <w:r w:rsidR="00937316" w:rsidRPr="00FB2381">
        <w:rPr>
          <w:color w:val="1F4E79" w:themeColor="accent1" w:themeShade="80"/>
        </w:rPr>
        <w:t>, jamais réellement mis en débat, parfois même occultés.</w:t>
      </w:r>
      <w:r w:rsidR="00CA4F79" w:rsidRPr="00FB2381">
        <w:rPr>
          <w:color w:val="1F4E79" w:themeColor="accent1" w:themeShade="80"/>
        </w:rPr>
        <w:t xml:space="preserve"> Nous constatons </w:t>
      </w:r>
      <w:r w:rsidR="00C00A48" w:rsidRPr="00FB2381">
        <w:rPr>
          <w:color w:val="1F4E79" w:themeColor="accent1" w:themeShade="80"/>
        </w:rPr>
        <w:t>au total</w:t>
      </w:r>
      <w:r w:rsidR="00FC1D59" w:rsidRPr="00FB2381">
        <w:rPr>
          <w:color w:val="1F4E79" w:themeColor="accent1" w:themeShade="80"/>
        </w:rPr>
        <w:t xml:space="preserve"> que</w:t>
      </w:r>
      <w:r w:rsidR="00C00A48" w:rsidRPr="00FB2381">
        <w:rPr>
          <w:color w:val="1F4E79" w:themeColor="accent1" w:themeShade="80"/>
        </w:rPr>
        <w:t xml:space="preserve"> vous n’assurez pas vos</w:t>
      </w:r>
      <w:r w:rsidR="00FC1D59" w:rsidRPr="00FB2381">
        <w:rPr>
          <w:color w:val="1F4E79" w:themeColor="accent1" w:themeShade="80"/>
        </w:rPr>
        <w:t xml:space="preserve"> obligations d’évaluation des risques pour la santé et la sécurité des travailleurs, </w:t>
      </w:r>
      <w:r w:rsidR="00C00A48" w:rsidRPr="00FB2381">
        <w:rPr>
          <w:color w:val="1F4E79" w:themeColor="accent1" w:themeShade="80"/>
        </w:rPr>
        <w:t xml:space="preserve">vous ne mettez pas en </w:t>
      </w:r>
      <w:proofErr w:type="spellStart"/>
      <w:r w:rsidR="00C00A48" w:rsidRPr="00FB2381">
        <w:rPr>
          <w:color w:val="1F4E79" w:themeColor="accent1" w:themeShade="80"/>
        </w:rPr>
        <w:t>oeuvre</w:t>
      </w:r>
      <w:proofErr w:type="spellEnd"/>
      <w:r w:rsidR="00FC1D59" w:rsidRPr="00FB2381">
        <w:rPr>
          <w:color w:val="1F4E79" w:themeColor="accent1" w:themeShade="80"/>
        </w:rPr>
        <w:t xml:space="preserve"> les actions de prévention des risques professionnels, </w:t>
      </w:r>
      <w:r w:rsidR="00C00A48" w:rsidRPr="008C33EA">
        <w:rPr>
          <w:b/>
          <w:color w:val="1F4E79" w:themeColor="accent1" w:themeShade="80"/>
        </w:rPr>
        <w:t>vous n’effectuez pas l’</w:t>
      </w:r>
      <w:r w:rsidR="00FC1D59" w:rsidRPr="008C33EA">
        <w:rPr>
          <w:b/>
          <w:color w:val="1F4E79" w:themeColor="accent1" w:themeShade="80"/>
        </w:rPr>
        <w:t>analyse des risques profe</w:t>
      </w:r>
      <w:r w:rsidR="00C00A48" w:rsidRPr="008C33EA">
        <w:rPr>
          <w:b/>
          <w:color w:val="1F4E79" w:themeColor="accent1" w:themeShade="80"/>
        </w:rPr>
        <w:t>ssionnels, concernant c</w:t>
      </w:r>
      <w:r w:rsidR="00FC1D59" w:rsidRPr="008C33EA">
        <w:rPr>
          <w:b/>
          <w:color w:val="1F4E79" w:themeColor="accent1" w:themeShade="80"/>
        </w:rPr>
        <w:t>es dysfonctionnements et problèmes</w:t>
      </w:r>
      <w:r w:rsidR="00C00A48" w:rsidRPr="008C33EA">
        <w:rPr>
          <w:b/>
          <w:color w:val="1F4E79" w:themeColor="accent1" w:themeShade="80"/>
        </w:rPr>
        <w:t>.</w:t>
      </w:r>
    </w:p>
    <w:p w:rsidR="008E15B0" w:rsidRPr="00FB2381" w:rsidRDefault="008E15B0" w:rsidP="00510631">
      <w:pPr>
        <w:jc w:val="both"/>
        <w:rPr>
          <w:color w:val="1F4E79" w:themeColor="accent1" w:themeShade="80"/>
        </w:rPr>
      </w:pPr>
    </w:p>
    <w:p w:rsidR="00C00A48" w:rsidRPr="00FB2381" w:rsidRDefault="00C00A48" w:rsidP="00510631">
      <w:pPr>
        <w:jc w:val="both"/>
        <w:rPr>
          <w:color w:val="1F4E79" w:themeColor="accent1" w:themeShade="80"/>
        </w:rPr>
      </w:pPr>
      <w:r w:rsidRPr="00FB2381">
        <w:rPr>
          <w:color w:val="1F4E79" w:themeColor="accent1" w:themeShade="80"/>
        </w:rPr>
        <w:t>Quels sont-ils ?</w:t>
      </w:r>
    </w:p>
    <w:p w:rsidR="00C00A48" w:rsidRPr="00FB2381" w:rsidRDefault="00C00A48" w:rsidP="00510631">
      <w:pPr>
        <w:jc w:val="both"/>
        <w:rPr>
          <w:color w:val="1F4E79" w:themeColor="accent1" w:themeShade="80"/>
        </w:rPr>
      </w:pPr>
    </w:p>
    <w:p w:rsidR="004E745A" w:rsidRPr="008C33EA" w:rsidRDefault="00937316" w:rsidP="00510631">
      <w:pPr>
        <w:jc w:val="both"/>
        <w:rPr>
          <w:color w:val="1F4E79" w:themeColor="accent1" w:themeShade="80"/>
          <w:sz w:val="28"/>
          <w:szCs w:val="28"/>
          <w:u w:val="single"/>
        </w:rPr>
      </w:pPr>
      <w:r w:rsidRPr="008C33EA">
        <w:rPr>
          <w:color w:val="1F4E79" w:themeColor="accent1" w:themeShade="80"/>
          <w:sz w:val="28"/>
          <w:szCs w:val="28"/>
          <w:u w:val="single"/>
        </w:rPr>
        <w:t xml:space="preserve">La dégradation des conditions de travail dans les services, telle qu’elle nous remonte des agents, est massive. </w:t>
      </w:r>
    </w:p>
    <w:p w:rsidR="008C33EA" w:rsidRPr="00FB2381" w:rsidRDefault="008C33EA" w:rsidP="00510631">
      <w:pPr>
        <w:jc w:val="both"/>
        <w:rPr>
          <w:color w:val="1F4E79" w:themeColor="accent1" w:themeShade="80"/>
        </w:rPr>
      </w:pPr>
    </w:p>
    <w:p w:rsidR="00C47C77" w:rsidRPr="00FB2381" w:rsidRDefault="00937316" w:rsidP="00510631">
      <w:pPr>
        <w:jc w:val="both"/>
        <w:rPr>
          <w:color w:val="1F4E79" w:themeColor="accent1" w:themeShade="80"/>
        </w:rPr>
      </w:pPr>
      <w:r w:rsidRPr="00E806E6">
        <w:rPr>
          <w:b/>
          <w:color w:val="1F4E79" w:themeColor="accent1" w:themeShade="80"/>
        </w:rPr>
        <w:t>Elle fait suite, vous le savez, à la réforme de l’OTE, mal préparée, et se manifeste en particulier dans les dysfonctionnements des S</w:t>
      </w:r>
      <w:r w:rsidR="00C00A48" w:rsidRPr="00E806E6">
        <w:rPr>
          <w:b/>
          <w:color w:val="1F4E79" w:themeColor="accent1" w:themeShade="80"/>
        </w:rPr>
        <w:t>ecrétariats Généraux Communs (S</w:t>
      </w:r>
      <w:r w:rsidRPr="00E806E6">
        <w:rPr>
          <w:b/>
          <w:color w:val="1F4E79" w:themeColor="accent1" w:themeShade="80"/>
        </w:rPr>
        <w:t>GC</w:t>
      </w:r>
      <w:r w:rsidR="00C00A48" w:rsidRPr="00E806E6">
        <w:rPr>
          <w:b/>
          <w:color w:val="1F4E79" w:themeColor="accent1" w:themeShade="80"/>
        </w:rPr>
        <w:t>)</w:t>
      </w:r>
      <w:r w:rsidRPr="00E806E6">
        <w:rPr>
          <w:b/>
          <w:color w:val="1F4E79" w:themeColor="accent1" w:themeShade="80"/>
        </w:rPr>
        <w:t>.  Elle engendre un</w:t>
      </w:r>
      <w:r w:rsidR="00C47C77" w:rsidRPr="00E806E6">
        <w:rPr>
          <w:b/>
          <w:color w:val="1F4E79" w:themeColor="accent1" w:themeShade="80"/>
        </w:rPr>
        <w:t xml:space="preserve"> mal-être au travail important.</w:t>
      </w:r>
      <w:r w:rsidR="00C47C77" w:rsidRPr="00FB2381">
        <w:rPr>
          <w:color w:val="1F4E79" w:themeColor="accent1" w:themeShade="80"/>
        </w:rPr>
        <w:t xml:space="preserve"> Ce qu’on désigne pudiquement par les termes « d’irritants au quotidien » se sont multipliés.</w:t>
      </w:r>
      <w:r w:rsidR="004E745A" w:rsidRPr="00FB2381">
        <w:rPr>
          <w:color w:val="1F4E79" w:themeColor="accent1" w:themeShade="80"/>
        </w:rPr>
        <w:t xml:space="preserve"> Les agents n’en peuvent plus de ne pas savoir vers qui se tourne</w:t>
      </w:r>
      <w:r w:rsidR="00C00A48" w:rsidRPr="00FB2381">
        <w:rPr>
          <w:color w:val="1F4E79" w:themeColor="accent1" w:themeShade="80"/>
        </w:rPr>
        <w:t>r et de ne pas avoir de réponse</w:t>
      </w:r>
      <w:r w:rsidR="004E745A" w:rsidRPr="00FB2381">
        <w:rPr>
          <w:color w:val="1F4E79" w:themeColor="accent1" w:themeShade="80"/>
        </w:rPr>
        <w:t xml:space="preserve"> à leurs demandes en termes de rémunération, indemnités, statut, action sociale. </w:t>
      </w:r>
    </w:p>
    <w:p w:rsidR="00937316" w:rsidRPr="00FB2381" w:rsidRDefault="004E745A" w:rsidP="00510631">
      <w:pPr>
        <w:jc w:val="both"/>
        <w:rPr>
          <w:color w:val="1F4E79" w:themeColor="accent1" w:themeShade="80"/>
        </w:rPr>
      </w:pPr>
      <w:r w:rsidRPr="00FB2381">
        <w:rPr>
          <w:color w:val="1F4E79" w:themeColor="accent1" w:themeShade="80"/>
        </w:rPr>
        <w:t xml:space="preserve">Cette situation a été </w:t>
      </w:r>
      <w:r w:rsidR="00937316" w:rsidRPr="00FB2381">
        <w:rPr>
          <w:color w:val="1F4E79" w:themeColor="accent1" w:themeShade="80"/>
        </w:rPr>
        <w:t>objectivée notamment par le récent rapport BRIQUET de la commission des finances du Sénat, en juin dernier.</w:t>
      </w:r>
    </w:p>
    <w:p w:rsidR="00937316" w:rsidRPr="00FB2381" w:rsidRDefault="00937316" w:rsidP="00510631">
      <w:pPr>
        <w:jc w:val="both"/>
        <w:rPr>
          <w:color w:val="1F4E79" w:themeColor="accent1" w:themeShade="80"/>
        </w:rPr>
      </w:pPr>
    </w:p>
    <w:p w:rsidR="00937316" w:rsidRPr="00FB2381" w:rsidRDefault="00937316" w:rsidP="00510631">
      <w:pPr>
        <w:jc w:val="both"/>
        <w:rPr>
          <w:color w:val="1F4E79" w:themeColor="accent1" w:themeShade="80"/>
        </w:rPr>
      </w:pPr>
      <w:r w:rsidRPr="00E806E6">
        <w:rPr>
          <w:b/>
          <w:color w:val="1F4E79" w:themeColor="accent1" w:themeShade="80"/>
        </w:rPr>
        <w:t>La dégrada</w:t>
      </w:r>
      <w:r w:rsidR="004E745A" w:rsidRPr="00E806E6">
        <w:rPr>
          <w:b/>
          <w:color w:val="1F4E79" w:themeColor="accent1" w:themeShade="80"/>
        </w:rPr>
        <w:t xml:space="preserve">tion des conditions de travail prend en outre la forme, </w:t>
      </w:r>
      <w:r w:rsidRPr="00E806E6">
        <w:rPr>
          <w:b/>
          <w:color w:val="1F4E79" w:themeColor="accent1" w:themeShade="80"/>
        </w:rPr>
        <w:t xml:space="preserve">dans les services déconcentrés de l’inspection du travail, </w:t>
      </w:r>
      <w:r w:rsidR="004E745A" w:rsidRPr="00E806E6">
        <w:rPr>
          <w:b/>
          <w:color w:val="1F4E79" w:themeColor="accent1" w:themeShade="80"/>
        </w:rPr>
        <w:t>d’une forte exposition aux risques psychosociaux</w:t>
      </w:r>
      <w:r w:rsidRPr="00E806E6">
        <w:rPr>
          <w:b/>
          <w:color w:val="1F4E79" w:themeColor="accent1" w:themeShade="80"/>
        </w:rPr>
        <w:t>.</w:t>
      </w:r>
      <w:r w:rsidRPr="00FB2381">
        <w:rPr>
          <w:color w:val="1F4E79" w:themeColor="accent1" w:themeShade="80"/>
        </w:rPr>
        <w:t xml:space="preserve"> Le dernier rapport IGAS, qui porte sur les seuls </w:t>
      </w:r>
      <w:proofErr w:type="spellStart"/>
      <w:r w:rsidRPr="00FB2381">
        <w:rPr>
          <w:color w:val="1F4E79" w:themeColor="accent1" w:themeShade="80"/>
        </w:rPr>
        <w:t>RUCs</w:t>
      </w:r>
      <w:proofErr w:type="spellEnd"/>
      <w:r w:rsidRPr="00FB2381">
        <w:rPr>
          <w:color w:val="1F4E79" w:themeColor="accent1" w:themeShade="80"/>
        </w:rPr>
        <w:t xml:space="preserve">, énonce que ces agents ont un fort ressenti d’isolement, qu’ils exercent une fonction exposée et sous tension, qu’ils sont </w:t>
      </w:r>
      <w:r w:rsidR="004E745A" w:rsidRPr="00FB2381">
        <w:rPr>
          <w:color w:val="1F4E79" w:themeColor="accent1" w:themeShade="80"/>
        </w:rPr>
        <w:t xml:space="preserve">–nous citons- </w:t>
      </w:r>
      <w:r w:rsidRPr="00FB2381">
        <w:rPr>
          <w:color w:val="1F4E79" w:themeColor="accent1" w:themeShade="80"/>
        </w:rPr>
        <w:t xml:space="preserve">très fortement exposés aux RPS. Sur ce rapport, </w:t>
      </w:r>
      <w:r w:rsidR="00C00A48" w:rsidRPr="00FB2381">
        <w:rPr>
          <w:color w:val="1F4E79" w:themeColor="accent1" w:themeShade="80"/>
        </w:rPr>
        <w:t>il y a</w:t>
      </w:r>
      <w:r w:rsidR="004E745A" w:rsidRPr="00FB2381">
        <w:rPr>
          <w:color w:val="1F4E79" w:themeColor="accent1" w:themeShade="80"/>
        </w:rPr>
        <w:t xml:space="preserve"> un black-out</w:t>
      </w:r>
      <w:r w:rsidRPr="00FB2381">
        <w:rPr>
          <w:color w:val="1F4E79" w:themeColor="accent1" w:themeShade="80"/>
        </w:rPr>
        <w:t>, nous vous en avons de</w:t>
      </w:r>
      <w:r w:rsidR="004E745A" w:rsidRPr="00FB2381">
        <w:rPr>
          <w:color w:val="1F4E79" w:themeColor="accent1" w:themeShade="80"/>
        </w:rPr>
        <w:t>mandé la communication, en vain, alors qu’il a été communiqué au ministre en juin 2022</w:t>
      </w:r>
      <w:r w:rsidR="00510631">
        <w:rPr>
          <w:color w:val="1F4E79" w:themeColor="accent1" w:themeShade="80"/>
        </w:rPr>
        <w:t xml:space="preserve">. </w:t>
      </w:r>
      <w:r w:rsidR="004E745A" w:rsidRPr="00FB2381">
        <w:rPr>
          <w:color w:val="1F4E79" w:themeColor="accent1" w:themeShade="80"/>
        </w:rPr>
        <w:t>Un autre</w:t>
      </w:r>
      <w:r w:rsidRPr="00FB2381">
        <w:rPr>
          <w:color w:val="1F4E79" w:themeColor="accent1" w:themeShade="80"/>
        </w:rPr>
        <w:t xml:space="preserve"> rapport, </w:t>
      </w:r>
      <w:r w:rsidR="004E745A" w:rsidRPr="00FB2381">
        <w:rPr>
          <w:color w:val="1F4E79" w:themeColor="accent1" w:themeShade="80"/>
        </w:rPr>
        <w:t>celui</w:t>
      </w:r>
      <w:r w:rsidRPr="00FB2381">
        <w:rPr>
          <w:color w:val="1F4E79" w:themeColor="accent1" w:themeShade="80"/>
        </w:rPr>
        <w:t xml:space="preserve"> sur les conditions de travail à l’UD des Côtes d’Armor, présenté, dans une version non définitive, au CHSCT ministériel en avril 2022, </w:t>
      </w:r>
      <w:proofErr w:type="gramStart"/>
      <w:r w:rsidRPr="00FB2381">
        <w:rPr>
          <w:color w:val="1F4E79" w:themeColor="accent1" w:themeShade="80"/>
        </w:rPr>
        <w:t>apporte lui</w:t>
      </w:r>
      <w:proofErr w:type="gramEnd"/>
      <w:r w:rsidRPr="00FB2381">
        <w:rPr>
          <w:color w:val="1F4E79" w:themeColor="accent1" w:themeShade="80"/>
        </w:rPr>
        <w:t xml:space="preserve"> aussi un éclairage alarmant sur les RPS dans nos services et confirme, si besoin était, que ce risque ne concerne pas les seuls </w:t>
      </w:r>
      <w:proofErr w:type="spellStart"/>
      <w:r w:rsidRPr="00FB2381">
        <w:rPr>
          <w:color w:val="1F4E79" w:themeColor="accent1" w:themeShade="80"/>
        </w:rPr>
        <w:t>RUCs</w:t>
      </w:r>
      <w:proofErr w:type="spellEnd"/>
      <w:r w:rsidRPr="00FB2381">
        <w:rPr>
          <w:color w:val="1F4E79" w:themeColor="accent1" w:themeShade="80"/>
        </w:rPr>
        <w:t>.</w:t>
      </w:r>
    </w:p>
    <w:p w:rsidR="00D37A83" w:rsidRPr="00FB2381" w:rsidRDefault="00D37A83" w:rsidP="00510631">
      <w:pPr>
        <w:jc w:val="both"/>
        <w:rPr>
          <w:color w:val="1F4E79" w:themeColor="accent1" w:themeShade="80"/>
        </w:rPr>
      </w:pPr>
    </w:p>
    <w:p w:rsidR="00510631" w:rsidRDefault="00510631" w:rsidP="00510631">
      <w:pPr>
        <w:jc w:val="both"/>
        <w:rPr>
          <w:rFonts w:eastAsia="Times New Roman"/>
          <w:color w:val="1F4E79" w:themeColor="accent1" w:themeShade="80"/>
        </w:rPr>
      </w:pPr>
      <w:r>
        <w:rPr>
          <w:color w:val="1F4E79" w:themeColor="accent1" w:themeShade="80"/>
        </w:rPr>
        <w:t xml:space="preserve"> </w:t>
      </w:r>
      <w:r w:rsidR="00D744F7" w:rsidRPr="00FB2381">
        <w:rPr>
          <w:rFonts w:eastAsia="Times New Roman"/>
          <w:color w:val="1F4E79" w:themeColor="accent1" w:themeShade="80"/>
        </w:rPr>
        <w:t>Pas plus tard que ces derniers jours, nous avons encore eu des remontées alarmantes des régions.</w:t>
      </w:r>
    </w:p>
    <w:p w:rsidR="00D744F7" w:rsidRPr="00FB2381" w:rsidRDefault="00D744F7" w:rsidP="008C33EA">
      <w:pPr>
        <w:jc w:val="both"/>
        <w:rPr>
          <w:rFonts w:eastAsia="Times New Roman"/>
          <w:color w:val="1F4E79" w:themeColor="accent1" w:themeShade="80"/>
        </w:rPr>
      </w:pPr>
      <w:r w:rsidRPr="00FB2381">
        <w:rPr>
          <w:rFonts w:eastAsia="Times New Roman"/>
          <w:color w:val="1F4E79" w:themeColor="accent1" w:themeShade="80"/>
        </w:rPr>
        <w:t xml:space="preserve">Cela ne peut plus </w:t>
      </w:r>
      <w:proofErr w:type="spellStart"/>
      <w:proofErr w:type="gramStart"/>
      <w:r w:rsidRPr="00FB2381">
        <w:rPr>
          <w:rFonts w:eastAsia="Times New Roman"/>
          <w:color w:val="1F4E79" w:themeColor="accent1" w:themeShade="80"/>
        </w:rPr>
        <w:t>durer.</w:t>
      </w:r>
      <w:r w:rsidR="007F55F9" w:rsidRPr="00FB2381">
        <w:rPr>
          <w:rFonts w:eastAsia="Times New Roman"/>
          <w:color w:val="1F4E79" w:themeColor="accent1" w:themeShade="80"/>
        </w:rPr>
        <w:t>Alors</w:t>
      </w:r>
      <w:proofErr w:type="spellEnd"/>
      <w:proofErr w:type="gramEnd"/>
      <w:r w:rsidR="007F55F9" w:rsidRPr="00FB2381">
        <w:rPr>
          <w:rFonts w:eastAsia="Times New Roman"/>
          <w:color w:val="1F4E79" w:themeColor="accent1" w:themeShade="80"/>
        </w:rPr>
        <w:t xml:space="preserve"> que faire ?</w:t>
      </w:r>
    </w:p>
    <w:p w:rsidR="00D744F7" w:rsidRPr="008C33EA" w:rsidRDefault="00E806E6" w:rsidP="00510631">
      <w:pPr>
        <w:pStyle w:val="Titre1"/>
        <w:jc w:val="both"/>
        <w:rPr>
          <w:rFonts w:ascii="Calibri" w:eastAsia="Times New Roman" w:hAnsi="Calibri" w:cs="Calibri"/>
          <w:b/>
          <w:color w:val="1F4E79" w:themeColor="accent1" w:themeShade="80"/>
          <w:sz w:val="28"/>
          <w:szCs w:val="28"/>
          <w:u w:val="single"/>
        </w:rPr>
      </w:pPr>
      <w:r w:rsidRPr="008C33EA">
        <w:rPr>
          <w:rFonts w:ascii="Calibri" w:eastAsia="Times New Roman" w:hAnsi="Calibri" w:cs="Calibri"/>
          <w:b/>
          <w:color w:val="1F4E79" w:themeColor="accent1" w:themeShade="80"/>
          <w:sz w:val="28"/>
          <w:szCs w:val="28"/>
          <w:u w:val="single"/>
        </w:rPr>
        <w:t>Le SYNTEF-CFDT propose</w:t>
      </w:r>
      <w:r w:rsidR="007F55F9" w:rsidRPr="008C33EA">
        <w:rPr>
          <w:rFonts w:ascii="Calibri" w:eastAsia="Times New Roman" w:hAnsi="Calibri" w:cs="Calibri"/>
          <w:b/>
          <w:color w:val="1F4E79" w:themeColor="accent1" w:themeShade="80"/>
          <w:sz w:val="28"/>
          <w:szCs w:val="28"/>
          <w:u w:val="single"/>
        </w:rPr>
        <w:t xml:space="preserve"> au CHSCT-M d’ouvrir ce jour une procédure pour risque grave.</w:t>
      </w:r>
    </w:p>
    <w:p w:rsidR="00937316" w:rsidRPr="00FB2381" w:rsidRDefault="007F55F9" w:rsidP="00510631">
      <w:pPr>
        <w:pStyle w:val="Titre1"/>
        <w:jc w:val="both"/>
        <w:rPr>
          <w:rFonts w:ascii="Calibri" w:eastAsia="Times New Roman" w:hAnsi="Calibri" w:cs="Calibri"/>
          <w:color w:val="1F4E79" w:themeColor="accent1" w:themeShade="80"/>
          <w:sz w:val="22"/>
          <w:szCs w:val="22"/>
          <w:lang w:eastAsia="fr-FR"/>
        </w:rPr>
      </w:pPr>
      <w:r w:rsidRPr="00FB2381">
        <w:rPr>
          <w:rFonts w:ascii="Calibri" w:eastAsia="Times New Roman" w:hAnsi="Calibri" w:cs="Calibri"/>
          <w:color w:val="1F4E79" w:themeColor="accent1" w:themeShade="80"/>
          <w:sz w:val="22"/>
          <w:szCs w:val="22"/>
        </w:rPr>
        <w:t>Selon nous, l’</w:t>
      </w:r>
      <w:r w:rsidR="00CA4F79" w:rsidRPr="00FB2381">
        <w:rPr>
          <w:rFonts w:ascii="Calibri" w:eastAsia="Times New Roman" w:hAnsi="Calibri" w:cs="Calibri"/>
          <w:color w:val="1F4E79" w:themeColor="accent1" w:themeShade="80"/>
          <w:sz w:val="22"/>
          <w:szCs w:val="22"/>
          <w:u w:val="single"/>
        </w:rPr>
        <w:t>ensemble de ces</w:t>
      </w:r>
      <w:r w:rsidR="00937316" w:rsidRPr="00FB2381">
        <w:rPr>
          <w:rFonts w:ascii="Calibri" w:eastAsia="Times New Roman" w:hAnsi="Calibri" w:cs="Calibri"/>
          <w:color w:val="1F4E79" w:themeColor="accent1" w:themeShade="80"/>
          <w:sz w:val="22"/>
          <w:szCs w:val="22"/>
          <w:u w:val="single"/>
        </w:rPr>
        <w:t xml:space="preserve"> éléments</w:t>
      </w:r>
      <w:r w:rsidR="00937316" w:rsidRPr="00FB2381">
        <w:rPr>
          <w:rFonts w:ascii="Calibri" w:eastAsia="Times New Roman" w:hAnsi="Calibri" w:cs="Calibri"/>
          <w:color w:val="1F4E79" w:themeColor="accent1" w:themeShade="80"/>
          <w:sz w:val="22"/>
          <w:szCs w:val="22"/>
        </w:rPr>
        <w:t xml:space="preserve">, à savoir d’une part </w:t>
      </w:r>
      <w:r w:rsidR="00227A92" w:rsidRPr="00FB2381">
        <w:rPr>
          <w:rFonts w:ascii="Calibri" w:eastAsia="Times New Roman" w:hAnsi="Calibri" w:cs="Calibri"/>
          <w:color w:val="1F4E79" w:themeColor="accent1" w:themeShade="80"/>
          <w:sz w:val="22"/>
          <w:szCs w:val="22"/>
        </w:rPr>
        <w:t>l’accumulation des risques</w:t>
      </w:r>
      <w:r w:rsidR="00937316" w:rsidRPr="00FB2381">
        <w:rPr>
          <w:rFonts w:ascii="Calibri" w:eastAsia="Times New Roman" w:hAnsi="Calibri" w:cs="Calibri"/>
          <w:color w:val="1F4E79" w:themeColor="accent1" w:themeShade="80"/>
          <w:sz w:val="22"/>
          <w:szCs w:val="22"/>
        </w:rPr>
        <w:t xml:space="preserve"> ainsi </w:t>
      </w:r>
      <w:r w:rsidR="00227A92" w:rsidRPr="00FB2381">
        <w:rPr>
          <w:rFonts w:ascii="Calibri" w:eastAsia="Times New Roman" w:hAnsi="Calibri" w:cs="Calibri"/>
          <w:color w:val="1F4E79" w:themeColor="accent1" w:themeShade="80"/>
          <w:sz w:val="22"/>
          <w:szCs w:val="22"/>
        </w:rPr>
        <w:t>énoncés et leur installation dans la durée</w:t>
      </w:r>
      <w:r w:rsidR="00937316" w:rsidRPr="00FB2381">
        <w:rPr>
          <w:rFonts w:ascii="Calibri" w:eastAsia="Times New Roman" w:hAnsi="Calibri" w:cs="Calibri"/>
          <w:color w:val="1F4E79" w:themeColor="accent1" w:themeShade="80"/>
          <w:sz w:val="22"/>
          <w:szCs w:val="22"/>
        </w:rPr>
        <w:t xml:space="preserve"> </w:t>
      </w:r>
      <w:r w:rsidR="00CA4F79" w:rsidRPr="00FB2381">
        <w:rPr>
          <w:rFonts w:ascii="Calibri" w:eastAsia="Times New Roman" w:hAnsi="Calibri" w:cs="Calibri"/>
          <w:color w:val="1F4E79" w:themeColor="accent1" w:themeShade="80"/>
          <w:sz w:val="22"/>
          <w:szCs w:val="22"/>
        </w:rPr>
        <w:t>et d’autre part</w:t>
      </w:r>
      <w:r w:rsidR="00FC1D59" w:rsidRPr="00FB2381">
        <w:rPr>
          <w:rFonts w:ascii="Calibri" w:eastAsia="Times New Roman" w:hAnsi="Calibri" w:cs="Calibri"/>
          <w:color w:val="1F4E79" w:themeColor="accent1" w:themeShade="80"/>
          <w:sz w:val="22"/>
          <w:szCs w:val="22"/>
        </w:rPr>
        <w:t>, sur ces risques,</w:t>
      </w:r>
      <w:r w:rsidR="008D07D4" w:rsidRPr="00FB2381">
        <w:rPr>
          <w:rFonts w:ascii="Calibri" w:eastAsia="Times New Roman" w:hAnsi="Calibri" w:cs="Calibri"/>
          <w:color w:val="1F4E79" w:themeColor="accent1" w:themeShade="80"/>
          <w:sz w:val="22"/>
          <w:szCs w:val="22"/>
        </w:rPr>
        <w:t xml:space="preserve"> le défaut d’évaluation des risques pour la santé et la sécurité des travailleurs, le défaut en matière d’actions de prévention des risques professionnels et d’analyse des risques professionnels, </w:t>
      </w:r>
      <w:r w:rsidR="008D07D4" w:rsidRPr="00FB2381">
        <w:rPr>
          <w:rFonts w:ascii="Calibri" w:eastAsia="Times New Roman" w:hAnsi="Calibri" w:cs="Calibri"/>
          <w:color w:val="1F4E79" w:themeColor="accent1" w:themeShade="80"/>
          <w:sz w:val="22"/>
          <w:szCs w:val="22"/>
          <w:u w:val="single"/>
        </w:rPr>
        <w:t>constitue</w:t>
      </w:r>
      <w:r w:rsidR="00937316" w:rsidRPr="00FB2381">
        <w:rPr>
          <w:rFonts w:ascii="Calibri" w:eastAsia="Times New Roman" w:hAnsi="Calibri" w:cs="Calibri"/>
          <w:color w:val="1F4E79" w:themeColor="accent1" w:themeShade="80"/>
          <w:sz w:val="22"/>
          <w:szCs w:val="22"/>
          <w:u w:val="single"/>
        </w:rPr>
        <w:t xml:space="preserve"> un risque grave</w:t>
      </w:r>
      <w:r w:rsidR="00937316" w:rsidRPr="00FB2381">
        <w:rPr>
          <w:rFonts w:ascii="Calibri" w:eastAsia="Times New Roman" w:hAnsi="Calibri" w:cs="Calibri"/>
          <w:color w:val="1F4E79" w:themeColor="accent1" w:themeShade="80"/>
          <w:sz w:val="22"/>
          <w:szCs w:val="22"/>
        </w:rPr>
        <w:t xml:space="preserve"> au sens de l’article 55 du décret du </w:t>
      </w:r>
      <w:r w:rsidR="00227A92" w:rsidRPr="00FB2381">
        <w:rPr>
          <w:rFonts w:ascii="Calibri" w:eastAsia="Times New Roman" w:hAnsi="Calibri" w:cs="Calibri"/>
          <w:color w:val="1F4E79" w:themeColor="accent1" w:themeShade="80"/>
          <w:sz w:val="22"/>
          <w:szCs w:val="22"/>
          <w:lang w:eastAsia="fr-FR"/>
        </w:rPr>
        <w:t>d</w:t>
      </w:r>
      <w:r w:rsidR="00937316" w:rsidRPr="00FB2381">
        <w:rPr>
          <w:rFonts w:ascii="Calibri" w:eastAsia="Times New Roman" w:hAnsi="Calibri" w:cs="Calibri"/>
          <w:color w:val="1F4E79" w:themeColor="accent1" w:themeShade="80"/>
          <w:sz w:val="22"/>
          <w:szCs w:val="22"/>
          <w:lang w:eastAsia="fr-FR"/>
        </w:rPr>
        <w:t xml:space="preserve">écret n°82-453 du 28 mai 1982 relatif à l'hygiène et à la sécurité du travail ainsi qu'à la prévention médicale dans la fonction publique. </w:t>
      </w:r>
    </w:p>
    <w:p w:rsidR="00D37A83" w:rsidRPr="00FB2381" w:rsidRDefault="00D37A83" w:rsidP="00510631">
      <w:pPr>
        <w:jc w:val="both"/>
        <w:rPr>
          <w:color w:val="1F4E79" w:themeColor="accent1" w:themeShade="80"/>
          <w:lang w:eastAsia="fr-FR"/>
        </w:rPr>
      </w:pPr>
    </w:p>
    <w:p w:rsidR="007F55F9" w:rsidRPr="00E806E6" w:rsidRDefault="00937316" w:rsidP="00510631">
      <w:pPr>
        <w:jc w:val="both"/>
        <w:rPr>
          <w:b/>
          <w:color w:val="1F4E79" w:themeColor="accent1" w:themeShade="80"/>
          <w:lang w:eastAsia="fr-FR"/>
        </w:rPr>
      </w:pPr>
      <w:r w:rsidRPr="00E806E6">
        <w:rPr>
          <w:b/>
          <w:color w:val="1F4E79" w:themeColor="accent1" w:themeShade="80"/>
          <w:lang w:eastAsia="fr-FR"/>
        </w:rPr>
        <w:t>Nous demandons</w:t>
      </w:r>
      <w:r w:rsidR="008D07D4" w:rsidRPr="00E806E6">
        <w:rPr>
          <w:b/>
          <w:color w:val="1F4E79" w:themeColor="accent1" w:themeShade="80"/>
          <w:lang w:eastAsia="fr-FR"/>
        </w:rPr>
        <w:t xml:space="preserve"> en conséquence</w:t>
      </w:r>
      <w:r w:rsidRPr="00E806E6">
        <w:rPr>
          <w:b/>
          <w:color w:val="1F4E79" w:themeColor="accent1" w:themeShade="80"/>
          <w:lang w:eastAsia="fr-FR"/>
        </w:rPr>
        <w:t>, en application de ce même articl</w:t>
      </w:r>
      <w:r w:rsidR="008D07D4" w:rsidRPr="00E806E6">
        <w:rPr>
          <w:b/>
          <w:color w:val="1F4E79" w:themeColor="accent1" w:themeShade="80"/>
          <w:lang w:eastAsia="fr-FR"/>
        </w:rPr>
        <w:t>e, </w:t>
      </w:r>
      <w:r w:rsidRPr="00E806E6">
        <w:rPr>
          <w:b/>
          <w:color w:val="1F4E79" w:themeColor="accent1" w:themeShade="80"/>
          <w:lang w:eastAsia="fr-FR"/>
        </w:rPr>
        <w:t>au</w:t>
      </w:r>
      <w:r w:rsidR="00FB2381" w:rsidRPr="00E806E6">
        <w:rPr>
          <w:b/>
          <w:color w:val="1F4E79" w:themeColor="accent1" w:themeShade="80"/>
          <w:lang w:eastAsia="fr-FR"/>
        </w:rPr>
        <w:t xml:space="preserve"> président du CHSCT ministériel</w:t>
      </w:r>
      <w:r w:rsidRPr="00E806E6">
        <w:rPr>
          <w:b/>
          <w:color w:val="1F4E79" w:themeColor="accent1" w:themeShade="80"/>
          <w:lang w:eastAsia="fr-FR"/>
        </w:rPr>
        <w:t xml:space="preserve"> de faire appel à</w:t>
      </w:r>
      <w:bookmarkStart w:id="0" w:name="_GoBack"/>
      <w:bookmarkEnd w:id="0"/>
      <w:r w:rsidRPr="00E806E6">
        <w:rPr>
          <w:b/>
          <w:color w:val="1F4E79" w:themeColor="accent1" w:themeShade="80"/>
          <w:lang w:eastAsia="fr-FR"/>
        </w:rPr>
        <w:t xml:space="preserve"> un expert agréé conformément aux articles R.4614-6 </w:t>
      </w:r>
      <w:r w:rsidR="004F1C60" w:rsidRPr="00E806E6">
        <w:rPr>
          <w:b/>
          <w:color w:val="1F4E79" w:themeColor="accent1" w:themeShade="80"/>
          <w:lang w:eastAsia="fr-FR"/>
        </w:rPr>
        <w:t xml:space="preserve">et suivants du code du travail du fait de </w:t>
      </w:r>
      <w:r w:rsidRPr="00E806E6">
        <w:rPr>
          <w:b/>
          <w:color w:val="1F4E79" w:themeColor="accent1" w:themeShade="80"/>
          <w:lang w:eastAsia="fr-FR"/>
        </w:rPr>
        <w:t>ce risque grave</w:t>
      </w:r>
      <w:r w:rsidR="004F1C60" w:rsidRPr="00E806E6">
        <w:rPr>
          <w:b/>
          <w:color w:val="1F4E79" w:themeColor="accent1" w:themeShade="80"/>
          <w:lang w:eastAsia="fr-FR"/>
        </w:rPr>
        <w:t>, pour les motifs ainsi développés</w:t>
      </w:r>
      <w:r w:rsidRPr="00E806E6">
        <w:rPr>
          <w:b/>
          <w:color w:val="1F4E79" w:themeColor="accent1" w:themeShade="80"/>
          <w:lang w:eastAsia="fr-FR"/>
        </w:rPr>
        <w:t>. </w:t>
      </w:r>
    </w:p>
    <w:p w:rsidR="00FB2381" w:rsidRPr="00FB2381" w:rsidRDefault="00FB2381" w:rsidP="00937316">
      <w:pPr>
        <w:rPr>
          <w:color w:val="1F4E79" w:themeColor="accent1" w:themeShade="80"/>
          <w:lang w:eastAsia="fr-FR"/>
        </w:rPr>
      </w:pPr>
    </w:p>
    <w:p w:rsidR="00D37A83" w:rsidRPr="00FB2381" w:rsidRDefault="00510631">
      <w:pPr>
        <w:rPr>
          <w:color w:val="1F4E79" w:themeColor="accent1" w:themeShade="80"/>
        </w:rPr>
      </w:pPr>
      <w:r>
        <w:rPr>
          <w:color w:val="1F4E79" w:themeColor="accent1" w:themeShade="80"/>
          <w:lang w:eastAsia="fr-FR"/>
        </w:rPr>
        <w:t xml:space="preserve"> </w:t>
      </w:r>
    </w:p>
    <w:p w:rsidR="00D37A83" w:rsidRPr="00FB2381" w:rsidRDefault="00D37A83">
      <w:pPr>
        <w:rPr>
          <w:color w:val="1F4E79" w:themeColor="accent1" w:themeShade="80"/>
        </w:rPr>
      </w:pPr>
    </w:p>
    <w:sectPr w:rsidR="00D37A83" w:rsidRPr="00FB2381" w:rsidSect="001C6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A15DE"/>
    <w:multiLevelType w:val="hybridMultilevel"/>
    <w:tmpl w:val="5C1632B0"/>
    <w:lvl w:ilvl="0" w:tplc="A634ABC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16"/>
    <w:rsid w:val="000F22B4"/>
    <w:rsid w:val="0019748F"/>
    <w:rsid w:val="001C6BF4"/>
    <w:rsid w:val="001E0664"/>
    <w:rsid w:val="00227A92"/>
    <w:rsid w:val="002D309A"/>
    <w:rsid w:val="003467D7"/>
    <w:rsid w:val="00346B7D"/>
    <w:rsid w:val="004E745A"/>
    <w:rsid w:val="004F1C60"/>
    <w:rsid w:val="00510631"/>
    <w:rsid w:val="005D4599"/>
    <w:rsid w:val="00615171"/>
    <w:rsid w:val="0065358F"/>
    <w:rsid w:val="006C12F4"/>
    <w:rsid w:val="006C45CF"/>
    <w:rsid w:val="007B4107"/>
    <w:rsid w:val="007E5CA0"/>
    <w:rsid w:val="007F55F9"/>
    <w:rsid w:val="0087103D"/>
    <w:rsid w:val="008C33EA"/>
    <w:rsid w:val="008D07D4"/>
    <w:rsid w:val="008E15B0"/>
    <w:rsid w:val="0092063F"/>
    <w:rsid w:val="00937316"/>
    <w:rsid w:val="00981B1A"/>
    <w:rsid w:val="00A00A69"/>
    <w:rsid w:val="00A47676"/>
    <w:rsid w:val="00AE6133"/>
    <w:rsid w:val="00B002DC"/>
    <w:rsid w:val="00B41F57"/>
    <w:rsid w:val="00BB694F"/>
    <w:rsid w:val="00BF2DCD"/>
    <w:rsid w:val="00C00A48"/>
    <w:rsid w:val="00C47C77"/>
    <w:rsid w:val="00CA4F79"/>
    <w:rsid w:val="00D37A83"/>
    <w:rsid w:val="00D43450"/>
    <w:rsid w:val="00D744F7"/>
    <w:rsid w:val="00DD7273"/>
    <w:rsid w:val="00E75989"/>
    <w:rsid w:val="00E806E6"/>
    <w:rsid w:val="00F82AC3"/>
    <w:rsid w:val="00F851B5"/>
    <w:rsid w:val="00FB2381"/>
    <w:rsid w:val="00FC1D59"/>
    <w:rsid w:val="00FF1C10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63FA"/>
  <w15:chartTrackingRefBased/>
  <w15:docId w15:val="{E2C25A7A-F501-4CC7-99F6-3DC3EE6A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316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link w:val="Titre1Car"/>
    <w:uiPriority w:val="9"/>
    <w:qFormat/>
    <w:rsid w:val="00937316"/>
    <w:pPr>
      <w:keepNext/>
      <w:spacing w:before="240"/>
      <w:outlineLvl w:val="0"/>
    </w:pPr>
    <w:rPr>
      <w:rFonts w:ascii="Calibri Light" w:hAnsi="Calibri Light" w:cs="Calibri Light"/>
      <w:color w:val="2E74B5"/>
      <w:kern w:val="36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7316"/>
    <w:rPr>
      <w:rFonts w:ascii="Calibri Light" w:hAnsi="Calibri Light" w:cs="Calibri Light"/>
      <w:color w:val="2E74B5"/>
      <w:kern w:val="36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E15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748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48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37A83"/>
    <w:pPr>
      <w:ind w:left="72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794</Words>
  <Characters>4368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Alors que faire ?</vt:lpstr>
      <vt:lpstr>Le SYNTEF-CFDT propose au CHSCT-M d’ouvrir ce jour une procédure pour risque gra</vt:lpstr>
      <vt:lpstr>Selon nous, l’ensemble de ces éléments, à savoir d’une part l’accumulation des r</vt:lpstr>
    </vt:vector>
  </TitlesOfParts>
  <Company>PPT/DSI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JANNES, Henri (SYNDICATS/CFDT)</dc:creator>
  <cp:keywords/>
  <dc:description/>
  <cp:lastModifiedBy>JANNES, Henri (SYNDICATS/CFDT)</cp:lastModifiedBy>
  <cp:revision>5</cp:revision>
  <cp:lastPrinted>2022-09-22T07:49:00Z</cp:lastPrinted>
  <dcterms:created xsi:type="dcterms:W3CDTF">2022-09-23T14:50:00Z</dcterms:created>
  <dcterms:modified xsi:type="dcterms:W3CDTF">2022-09-26T17:57:00Z</dcterms:modified>
</cp:coreProperties>
</file>